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08" w:type="dxa"/>
        </w:tblCellMar>
        <w:tblLook w:val="0000" w:firstRow="0" w:lastRow="0" w:firstColumn="0" w:lastColumn="0" w:noHBand="0" w:noVBand="0"/>
      </w:tblPr>
      <w:tblGrid>
        <w:gridCol w:w="1842"/>
        <w:gridCol w:w="6663"/>
      </w:tblGrid>
      <w:tr w:rsidR="00506DC1" w:rsidRPr="006923AE" w:rsidTr="00A83B18">
        <w:trPr>
          <w:trHeight w:val="284"/>
        </w:trPr>
        <w:tc>
          <w:tcPr>
            <w:tcW w:w="1083" w:type="pct"/>
            <w:tcMar>
              <w:left w:w="0" w:type="dxa"/>
              <w:right w:w="0" w:type="dxa"/>
            </w:tcMar>
          </w:tcPr>
          <w:p w:rsidR="00506DC1" w:rsidRPr="006923AE" w:rsidRDefault="00506DC1" w:rsidP="00526533">
            <w:pPr>
              <w:pStyle w:val="Prompt"/>
              <w:rPr>
                <w:rFonts w:cs="Arial"/>
                <w:szCs w:val="22"/>
              </w:rPr>
            </w:pPr>
            <w:r w:rsidRPr="006923AE">
              <w:rPr>
                <w:rFonts w:cs="Arial"/>
                <w:szCs w:val="22"/>
              </w:rPr>
              <w:t>To:</w:t>
            </w:r>
          </w:p>
        </w:tc>
        <w:tc>
          <w:tcPr>
            <w:tcW w:w="3917" w:type="pct"/>
          </w:tcPr>
          <w:p w:rsidR="00506DC1" w:rsidRPr="006923AE" w:rsidRDefault="0003649B" w:rsidP="00526533">
            <w:pPr>
              <w:pStyle w:val="Addressee"/>
              <w:rPr>
                <w:rFonts w:cs="Arial"/>
                <w:szCs w:val="22"/>
              </w:rPr>
            </w:pPr>
            <w:r w:rsidRPr="006923AE">
              <w:rPr>
                <w:rFonts w:cs="Arial"/>
                <w:szCs w:val="22"/>
              </w:rPr>
              <w:t>Development Determination Panel</w:t>
            </w:r>
          </w:p>
        </w:tc>
      </w:tr>
      <w:tr w:rsidR="00506DC1" w:rsidRPr="006923AE" w:rsidTr="00A83B18">
        <w:trPr>
          <w:trHeight w:val="284"/>
        </w:trPr>
        <w:tc>
          <w:tcPr>
            <w:tcW w:w="1083" w:type="pct"/>
            <w:tcMar>
              <w:left w:w="0" w:type="dxa"/>
              <w:right w:w="0" w:type="dxa"/>
            </w:tcMar>
          </w:tcPr>
          <w:p w:rsidR="00506DC1" w:rsidRPr="006923AE" w:rsidRDefault="00506DC1" w:rsidP="00526533">
            <w:pPr>
              <w:pStyle w:val="Prompt"/>
              <w:rPr>
                <w:rFonts w:cs="Arial"/>
                <w:szCs w:val="22"/>
              </w:rPr>
            </w:pPr>
            <w:r w:rsidRPr="006923AE">
              <w:rPr>
                <w:rFonts w:cs="Arial"/>
                <w:szCs w:val="22"/>
              </w:rPr>
              <w:t>From:</w:t>
            </w:r>
          </w:p>
        </w:tc>
        <w:tc>
          <w:tcPr>
            <w:tcW w:w="3917" w:type="pct"/>
          </w:tcPr>
          <w:p w:rsidR="00506DC1" w:rsidRPr="006923AE" w:rsidRDefault="0003649B" w:rsidP="00526533">
            <w:pPr>
              <w:pStyle w:val="Details"/>
              <w:rPr>
                <w:rFonts w:cs="Arial"/>
                <w:szCs w:val="22"/>
              </w:rPr>
            </w:pPr>
            <w:r w:rsidRPr="006923AE">
              <w:rPr>
                <w:rFonts w:cs="Arial"/>
                <w:szCs w:val="22"/>
              </w:rPr>
              <w:t>Alex Keller - Principal Planner</w:t>
            </w:r>
          </w:p>
        </w:tc>
      </w:tr>
      <w:tr w:rsidR="00506DC1" w:rsidRPr="006923AE" w:rsidTr="00A83B18">
        <w:trPr>
          <w:trHeight w:val="284"/>
        </w:trPr>
        <w:tc>
          <w:tcPr>
            <w:tcW w:w="1083" w:type="pct"/>
            <w:tcMar>
              <w:left w:w="0" w:type="dxa"/>
              <w:right w:w="0" w:type="dxa"/>
            </w:tcMar>
          </w:tcPr>
          <w:p w:rsidR="00506DC1" w:rsidRPr="006923AE" w:rsidRDefault="00506DC1" w:rsidP="00526533">
            <w:pPr>
              <w:pStyle w:val="Prompt"/>
              <w:rPr>
                <w:rFonts w:cs="Arial"/>
                <w:szCs w:val="22"/>
              </w:rPr>
            </w:pPr>
            <w:r w:rsidRPr="006923AE">
              <w:rPr>
                <w:rFonts w:cs="Arial"/>
                <w:szCs w:val="22"/>
              </w:rPr>
              <w:t>Date:</w:t>
            </w:r>
          </w:p>
        </w:tc>
        <w:tc>
          <w:tcPr>
            <w:tcW w:w="3917" w:type="pct"/>
          </w:tcPr>
          <w:p w:rsidR="00506DC1" w:rsidRPr="006923AE" w:rsidRDefault="0003649B" w:rsidP="00526533">
            <w:pPr>
              <w:pStyle w:val="Details"/>
              <w:rPr>
                <w:rFonts w:cs="Arial"/>
                <w:szCs w:val="22"/>
              </w:rPr>
            </w:pPr>
            <w:bookmarkStart w:id="0" w:name="Date"/>
            <w:r w:rsidRPr="006923AE">
              <w:rPr>
                <w:rFonts w:cs="Arial"/>
                <w:szCs w:val="22"/>
              </w:rPr>
              <w:t>25 May 2021</w:t>
            </w:r>
            <w:bookmarkEnd w:id="0"/>
          </w:p>
        </w:tc>
      </w:tr>
      <w:tr w:rsidR="00506DC1" w:rsidRPr="006923AE" w:rsidTr="00A83B18">
        <w:trPr>
          <w:trHeight w:val="282"/>
        </w:trPr>
        <w:tc>
          <w:tcPr>
            <w:tcW w:w="1083" w:type="pct"/>
            <w:tcMar>
              <w:left w:w="0" w:type="dxa"/>
              <w:right w:w="0" w:type="dxa"/>
            </w:tcMar>
          </w:tcPr>
          <w:p w:rsidR="00506DC1" w:rsidRPr="006923AE" w:rsidRDefault="00506DC1" w:rsidP="00526533">
            <w:pPr>
              <w:pStyle w:val="Prompt"/>
              <w:rPr>
                <w:rFonts w:cs="Arial"/>
                <w:szCs w:val="22"/>
              </w:rPr>
            </w:pPr>
            <w:r w:rsidRPr="006923AE">
              <w:rPr>
                <w:rFonts w:cs="Arial"/>
                <w:szCs w:val="22"/>
              </w:rPr>
              <w:t>Subject:</w:t>
            </w:r>
          </w:p>
        </w:tc>
        <w:tc>
          <w:tcPr>
            <w:tcW w:w="3917" w:type="pct"/>
          </w:tcPr>
          <w:p w:rsidR="00506DC1" w:rsidRPr="006923AE" w:rsidRDefault="0003649B" w:rsidP="0003649B">
            <w:pPr>
              <w:pStyle w:val="Details"/>
              <w:rPr>
                <w:rFonts w:cs="Arial"/>
                <w:szCs w:val="22"/>
              </w:rPr>
            </w:pPr>
            <w:bookmarkStart w:id="1" w:name="Subject"/>
            <w:bookmarkEnd w:id="1"/>
            <w:r w:rsidRPr="006923AE">
              <w:rPr>
                <w:rFonts w:cs="Arial"/>
                <w:szCs w:val="22"/>
              </w:rPr>
              <w:t xml:space="preserve">DA2020/1585 Construction of a dwelling house – </w:t>
            </w:r>
            <w:r w:rsidR="0041363B" w:rsidRPr="006923AE">
              <w:rPr>
                <w:rFonts w:cs="Arial"/>
                <w:szCs w:val="22"/>
              </w:rPr>
              <w:t xml:space="preserve">Clause 4.6 Variation - </w:t>
            </w:r>
            <w:r w:rsidRPr="006923AE">
              <w:rPr>
                <w:rFonts w:cs="Arial"/>
                <w:szCs w:val="22"/>
              </w:rPr>
              <w:t>Floor Space Ratio</w:t>
            </w:r>
            <w:r w:rsidR="0041363B" w:rsidRPr="006923AE">
              <w:rPr>
                <w:rFonts w:cs="Arial"/>
                <w:szCs w:val="22"/>
              </w:rPr>
              <w:t xml:space="preserve"> – Manly Local Environmental Plan (LEP) 2013 </w:t>
            </w:r>
          </w:p>
        </w:tc>
      </w:tr>
      <w:tr w:rsidR="00465E0D" w:rsidRPr="006923AE" w:rsidTr="00A83B18">
        <w:trPr>
          <w:trHeight w:val="282"/>
        </w:trPr>
        <w:tc>
          <w:tcPr>
            <w:tcW w:w="1083" w:type="pct"/>
            <w:tcBorders>
              <w:bottom w:val="single" w:sz="4" w:space="0" w:color="auto"/>
            </w:tcBorders>
            <w:tcMar>
              <w:left w:w="0" w:type="dxa"/>
              <w:right w:w="0" w:type="dxa"/>
            </w:tcMar>
          </w:tcPr>
          <w:p w:rsidR="00465E0D" w:rsidRPr="006923AE" w:rsidRDefault="00712BD2" w:rsidP="00526533">
            <w:pPr>
              <w:pStyle w:val="Prompt"/>
              <w:rPr>
                <w:rFonts w:cs="Arial"/>
                <w:szCs w:val="22"/>
              </w:rPr>
            </w:pPr>
            <w:r w:rsidRPr="006923AE">
              <w:rPr>
                <w:rFonts w:cs="Arial"/>
                <w:szCs w:val="22"/>
              </w:rPr>
              <w:t>Record Number</w:t>
            </w:r>
            <w:r w:rsidR="00A83B18" w:rsidRPr="006923AE">
              <w:rPr>
                <w:rFonts w:cs="Arial"/>
                <w:szCs w:val="22"/>
              </w:rPr>
              <w:t>:</w:t>
            </w:r>
          </w:p>
        </w:tc>
        <w:tc>
          <w:tcPr>
            <w:tcW w:w="3917" w:type="pct"/>
            <w:tcBorders>
              <w:bottom w:val="single" w:sz="4" w:space="0" w:color="auto"/>
            </w:tcBorders>
          </w:tcPr>
          <w:p w:rsidR="00465E0D" w:rsidRPr="006923AE" w:rsidRDefault="00922CC8" w:rsidP="00AD063E">
            <w:pPr>
              <w:pStyle w:val="RecordNumber"/>
              <w:rPr>
                <w:rFonts w:cs="Arial"/>
                <w:szCs w:val="22"/>
              </w:rPr>
            </w:pPr>
            <w:r>
              <w:rPr>
                <w:rFonts w:cs="Arial"/>
                <w:szCs w:val="22"/>
              </w:rPr>
              <w:t>2021/374394</w:t>
            </w:r>
          </w:p>
        </w:tc>
      </w:tr>
    </w:tbl>
    <w:p w:rsidR="00506DC1" w:rsidRPr="006923AE" w:rsidRDefault="00506DC1" w:rsidP="00506DC1">
      <w:pPr>
        <w:pStyle w:val="BodyText"/>
        <w:rPr>
          <w:rFonts w:cs="Arial"/>
          <w:szCs w:val="22"/>
        </w:rPr>
      </w:pPr>
    </w:p>
    <w:p w:rsidR="00511F8F" w:rsidRPr="006923AE" w:rsidRDefault="00511F8F" w:rsidP="00B86EDF">
      <w:pPr>
        <w:pStyle w:val="BodyText"/>
        <w:rPr>
          <w:rFonts w:cs="Arial"/>
          <w:color w:val="000000"/>
          <w:szCs w:val="22"/>
          <w:shd w:val="clear" w:color="auto" w:fill="FFFFFF"/>
        </w:rPr>
      </w:pPr>
      <w:r w:rsidRPr="006923AE">
        <w:rPr>
          <w:rFonts w:cs="Arial"/>
          <w:b/>
          <w:color w:val="000000"/>
          <w:szCs w:val="22"/>
          <w:u w:val="single"/>
          <w:shd w:val="clear" w:color="auto" w:fill="FFFFFF"/>
        </w:rPr>
        <w:t>Purpose</w:t>
      </w:r>
      <w:r w:rsidRPr="006923AE">
        <w:rPr>
          <w:rFonts w:cs="Arial"/>
          <w:color w:val="000000"/>
          <w:szCs w:val="22"/>
          <w:shd w:val="clear" w:color="auto" w:fill="FFFFFF"/>
        </w:rPr>
        <w:br/>
        <w:t xml:space="preserve">The purpose of this Memo is to </w:t>
      </w:r>
      <w:r w:rsidR="009468BE" w:rsidRPr="006923AE">
        <w:rPr>
          <w:rFonts w:cs="Arial"/>
          <w:color w:val="000000"/>
          <w:szCs w:val="22"/>
          <w:shd w:val="clear" w:color="auto" w:fill="FFFFFF"/>
        </w:rPr>
        <w:t xml:space="preserve">address the </w:t>
      </w:r>
      <w:r w:rsidR="007C16BB" w:rsidRPr="006923AE">
        <w:rPr>
          <w:rFonts w:cs="Arial"/>
          <w:color w:val="000000"/>
          <w:szCs w:val="22"/>
          <w:shd w:val="clear" w:color="auto" w:fill="FFFFFF"/>
        </w:rPr>
        <w:t xml:space="preserve">Assessment Report </w:t>
      </w:r>
      <w:r w:rsidR="00ED66DD" w:rsidRPr="006923AE">
        <w:rPr>
          <w:rFonts w:cs="Arial"/>
          <w:color w:val="000000"/>
          <w:szCs w:val="22"/>
          <w:shd w:val="clear" w:color="auto" w:fill="FFFFFF"/>
        </w:rPr>
        <w:t>details</w:t>
      </w:r>
      <w:r w:rsidR="009468BE" w:rsidRPr="006923AE">
        <w:rPr>
          <w:rFonts w:cs="Arial"/>
          <w:color w:val="000000"/>
          <w:szCs w:val="22"/>
          <w:shd w:val="clear" w:color="auto" w:fill="FFFFFF"/>
        </w:rPr>
        <w:t xml:space="preserve"> (including the Development Standards Complia</w:t>
      </w:r>
      <w:bookmarkStart w:id="2" w:name="_GoBack"/>
      <w:bookmarkEnd w:id="2"/>
      <w:r w:rsidR="009468BE" w:rsidRPr="006923AE">
        <w:rPr>
          <w:rFonts w:cs="Arial"/>
          <w:color w:val="000000"/>
          <w:szCs w:val="22"/>
          <w:shd w:val="clear" w:color="auto" w:fill="FFFFFF"/>
        </w:rPr>
        <w:t>nce Table)</w:t>
      </w:r>
      <w:r w:rsidR="00ED66DD" w:rsidRPr="006923AE">
        <w:rPr>
          <w:rFonts w:cs="Arial"/>
          <w:color w:val="000000"/>
          <w:szCs w:val="22"/>
          <w:shd w:val="clear" w:color="auto" w:fill="FFFFFF"/>
        </w:rPr>
        <w:t xml:space="preserve"> regarding the</w:t>
      </w:r>
      <w:r w:rsidRPr="006923AE">
        <w:rPr>
          <w:rFonts w:cs="Arial"/>
          <w:color w:val="000000"/>
          <w:szCs w:val="22"/>
          <w:shd w:val="clear" w:color="auto" w:fill="FFFFFF"/>
        </w:rPr>
        <w:t xml:space="preserve"> </w:t>
      </w:r>
      <w:r w:rsidR="00ED66DD" w:rsidRPr="006923AE">
        <w:rPr>
          <w:rFonts w:cs="Arial"/>
          <w:color w:val="000000"/>
          <w:szCs w:val="22"/>
          <w:shd w:val="clear" w:color="auto" w:fill="FFFFFF"/>
        </w:rPr>
        <w:t>variation to the</w:t>
      </w:r>
      <w:r w:rsidRPr="006923AE">
        <w:rPr>
          <w:rFonts w:cs="Arial"/>
          <w:color w:val="000000"/>
          <w:szCs w:val="22"/>
          <w:shd w:val="clear" w:color="auto" w:fill="FFFFFF"/>
        </w:rPr>
        <w:t xml:space="preserve"> F</w:t>
      </w:r>
      <w:r w:rsidR="007C16BB" w:rsidRPr="006923AE">
        <w:rPr>
          <w:rFonts w:cs="Arial"/>
          <w:color w:val="000000"/>
          <w:szCs w:val="22"/>
          <w:shd w:val="clear" w:color="auto" w:fill="FFFFFF"/>
        </w:rPr>
        <w:t>loor Space Ratio (FSR)</w:t>
      </w:r>
      <w:r w:rsidRPr="006923AE">
        <w:rPr>
          <w:rFonts w:cs="Arial"/>
          <w:color w:val="000000"/>
          <w:szCs w:val="22"/>
          <w:shd w:val="clear" w:color="auto" w:fill="FFFFFF"/>
        </w:rPr>
        <w:t xml:space="preserve"> </w:t>
      </w:r>
      <w:r w:rsidR="00ED66DD" w:rsidRPr="006923AE">
        <w:rPr>
          <w:rFonts w:cs="Arial"/>
          <w:color w:val="000000"/>
          <w:szCs w:val="22"/>
          <w:shd w:val="clear" w:color="auto" w:fill="FFFFFF"/>
        </w:rPr>
        <w:t xml:space="preserve">with respect to the stated compliance with </w:t>
      </w:r>
      <w:r w:rsidRPr="006923AE">
        <w:rPr>
          <w:rFonts w:cs="Arial"/>
          <w:color w:val="000000"/>
          <w:szCs w:val="22"/>
          <w:shd w:val="clear" w:color="auto" w:fill="FFFFFF"/>
        </w:rPr>
        <w:t xml:space="preserve">Clause 4.1.3.1 </w:t>
      </w:r>
      <w:r w:rsidR="0041363B" w:rsidRPr="006923AE">
        <w:rPr>
          <w:rFonts w:cs="Arial"/>
          <w:color w:val="000000"/>
          <w:szCs w:val="22"/>
          <w:shd w:val="clear" w:color="auto" w:fill="FFFFFF"/>
        </w:rPr>
        <w:t xml:space="preserve">of the </w:t>
      </w:r>
      <w:r w:rsidRPr="006923AE">
        <w:rPr>
          <w:rFonts w:cs="Arial"/>
          <w:i/>
          <w:color w:val="000000"/>
          <w:szCs w:val="22"/>
          <w:shd w:val="clear" w:color="auto" w:fill="FFFFFF"/>
        </w:rPr>
        <w:t>Exceptions to FSR</w:t>
      </w:r>
      <w:r w:rsidR="007C16BB" w:rsidRPr="006923AE">
        <w:rPr>
          <w:rFonts w:cs="Arial"/>
          <w:i/>
          <w:color w:val="000000"/>
          <w:szCs w:val="22"/>
          <w:shd w:val="clear" w:color="auto" w:fill="FFFFFF"/>
        </w:rPr>
        <w:t xml:space="preserve"> for Undersized Lots</w:t>
      </w:r>
      <w:r w:rsidR="0041363B" w:rsidRPr="006923AE">
        <w:rPr>
          <w:rFonts w:cs="Arial"/>
          <w:i/>
          <w:color w:val="000000"/>
          <w:szCs w:val="22"/>
          <w:shd w:val="clear" w:color="auto" w:fill="FFFFFF"/>
        </w:rPr>
        <w:t xml:space="preserve"> of the Manly Development Control Plan</w:t>
      </w:r>
      <w:r w:rsidR="007C16BB" w:rsidRPr="006923AE">
        <w:rPr>
          <w:rFonts w:cs="Arial"/>
          <w:color w:val="000000"/>
          <w:szCs w:val="22"/>
          <w:shd w:val="clear" w:color="auto" w:fill="FFFFFF"/>
        </w:rPr>
        <w:t xml:space="preserve">. </w:t>
      </w:r>
      <w:r w:rsidR="009468BE" w:rsidRPr="006923AE">
        <w:rPr>
          <w:rFonts w:cs="Arial"/>
          <w:color w:val="000000"/>
          <w:szCs w:val="22"/>
          <w:shd w:val="clear" w:color="auto" w:fill="FFFFFF"/>
        </w:rPr>
        <w:br/>
      </w:r>
      <w:r w:rsidR="009468BE" w:rsidRPr="006923AE">
        <w:rPr>
          <w:rFonts w:cs="Arial"/>
          <w:color w:val="000000"/>
          <w:szCs w:val="22"/>
          <w:shd w:val="clear" w:color="auto" w:fill="FFFFFF"/>
        </w:rPr>
        <w:br/>
      </w:r>
      <w:r w:rsidR="007C16BB" w:rsidRPr="006923AE">
        <w:rPr>
          <w:rFonts w:cs="Arial"/>
          <w:color w:val="000000"/>
          <w:szCs w:val="22"/>
          <w:shd w:val="clear" w:color="auto" w:fill="FFFFFF"/>
        </w:rPr>
        <w:t xml:space="preserve">A </w:t>
      </w:r>
      <w:r w:rsidR="0041363B" w:rsidRPr="006923AE">
        <w:rPr>
          <w:rFonts w:cs="Arial"/>
          <w:color w:val="000000"/>
          <w:szCs w:val="22"/>
          <w:shd w:val="clear" w:color="auto" w:fill="FFFFFF"/>
        </w:rPr>
        <w:t xml:space="preserve">detailed </w:t>
      </w:r>
      <w:r w:rsidR="007C16BB" w:rsidRPr="006923AE">
        <w:rPr>
          <w:rFonts w:cs="Arial"/>
          <w:color w:val="000000"/>
          <w:szCs w:val="22"/>
          <w:shd w:val="clear" w:color="auto" w:fill="FFFFFF"/>
        </w:rPr>
        <w:t xml:space="preserve">Clause 4.6 </w:t>
      </w:r>
      <w:r w:rsidR="0041363B" w:rsidRPr="006923AE">
        <w:rPr>
          <w:rFonts w:cs="Arial"/>
          <w:color w:val="000000"/>
          <w:szCs w:val="22"/>
          <w:shd w:val="clear" w:color="auto" w:fill="FFFFFF"/>
        </w:rPr>
        <w:t xml:space="preserve">assessment </w:t>
      </w:r>
      <w:r w:rsidR="007C16BB" w:rsidRPr="006923AE">
        <w:rPr>
          <w:rFonts w:cs="Arial"/>
          <w:color w:val="000000"/>
          <w:szCs w:val="22"/>
          <w:shd w:val="clear" w:color="auto" w:fill="FFFFFF"/>
        </w:rPr>
        <w:t xml:space="preserve">is provided to address the </w:t>
      </w:r>
      <w:r w:rsidR="009468BE" w:rsidRPr="006923AE">
        <w:rPr>
          <w:rFonts w:cs="Arial"/>
          <w:color w:val="000000"/>
          <w:szCs w:val="22"/>
          <w:shd w:val="clear" w:color="auto" w:fill="FFFFFF"/>
        </w:rPr>
        <w:t xml:space="preserve">Manly </w:t>
      </w:r>
      <w:r w:rsidR="007C16BB" w:rsidRPr="006923AE">
        <w:rPr>
          <w:rFonts w:cs="Arial"/>
          <w:color w:val="000000"/>
          <w:szCs w:val="22"/>
          <w:shd w:val="clear" w:color="auto" w:fill="FFFFFF"/>
        </w:rPr>
        <w:t>LEP</w:t>
      </w:r>
      <w:r w:rsidR="009468BE" w:rsidRPr="006923AE">
        <w:rPr>
          <w:rFonts w:cs="Arial"/>
          <w:color w:val="000000"/>
          <w:szCs w:val="22"/>
          <w:shd w:val="clear" w:color="auto" w:fill="FFFFFF"/>
        </w:rPr>
        <w:t xml:space="preserve"> non-compliance </w:t>
      </w:r>
      <w:r w:rsidR="0041363B" w:rsidRPr="006923AE">
        <w:rPr>
          <w:rFonts w:cs="Arial"/>
          <w:color w:val="000000"/>
          <w:szCs w:val="22"/>
          <w:shd w:val="clear" w:color="auto" w:fill="FFFFFF"/>
        </w:rPr>
        <w:t xml:space="preserve">in respect of </w:t>
      </w:r>
      <w:r w:rsidR="009468BE" w:rsidRPr="006923AE">
        <w:rPr>
          <w:rFonts w:cs="Arial"/>
          <w:color w:val="000000"/>
          <w:szCs w:val="22"/>
          <w:shd w:val="clear" w:color="auto" w:fill="FFFFFF"/>
        </w:rPr>
        <w:t>“</w:t>
      </w:r>
      <w:r w:rsidR="0041363B" w:rsidRPr="006923AE">
        <w:rPr>
          <w:rFonts w:cs="Arial"/>
          <w:color w:val="000000"/>
          <w:szCs w:val="22"/>
          <w:shd w:val="clear" w:color="auto" w:fill="FFFFFF"/>
        </w:rPr>
        <w:t>Area B</w:t>
      </w:r>
      <w:r w:rsidR="009468BE" w:rsidRPr="006923AE">
        <w:rPr>
          <w:rFonts w:cs="Arial"/>
          <w:color w:val="000000"/>
          <w:szCs w:val="22"/>
          <w:shd w:val="clear" w:color="auto" w:fill="FFFFFF"/>
        </w:rPr>
        <w:t>”</w:t>
      </w:r>
      <w:r w:rsidR="0041363B" w:rsidRPr="006923AE">
        <w:rPr>
          <w:rFonts w:cs="Arial"/>
          <w:color w:val="000000"/>
          <w:szCs w:val="22"/>
          <w:shd w:val="clear" w:color="auto" w:fill="FFFFFF"/>
        </w:rPr>
        <w:t xml:space="preserve"> and </w:t>
      </w:r>
      <w:r w:rsidR="009468BE" w:rsidRPr="006923AE">
        <w:rPr>
          <w:rFonts w:cs="Arial"/>
          <w:color w:val="000000"/>
          <w:szCs w:val="22"/>
          <w:shd w:val="clear" w:color="auto" w:fill="FFFFFF"/>
        </w:rPr>
        <w:t xml:space="preserve">exceptions permitted by </w:t>
      </w:r>
      <w:r w:rsidR="0041363B" w:rsidRPr="006923AE">
        <w:rPr>
          <w:rFonts w:cs="Arial"/>
          <w:color w:val="000000"/>
          <w:szCs w:val="22"/>
          <w:shd w:val="clear" w:color="auto" w:fill="FFFFFF"/>
        </w:rPr>
        <w:t xml:space="preserve">the </w:t>
      </w:r>
      <w:r w:rsidR="009468BE" w:rsidRPr="006923AE">
        <w:rPr>
          <w:rFonts w:cs="Arial"/>
          <w:color w:val="000000"/>
          <w:szCs w:val="22"/>
          <w:shd w:val="clear" w:color="auto" w:fill="FFFFFF"/>
        </w:rPr>
        <w:t>s</w:t>
      </w:r>
      <w:r w:rsidR="0041363B" w:rsidRPr="006923AE">
        <w:rPr>
          <w:rFonts w:cs="Arial"/>
          <w:color w:val="000000"/>
          <w:szCs w:val="22"/>
          <w:shd w:val="clear" w:color="auto" w:fill="FFFFFF"/>
        </w:rPr>
        <w:t xml:space="preserve">ub-zone </w:t>
      </w:r>
      <w:r w:rsidR="009468BE" w:rsidRPr="006923AE">
        <w:rPr>
          <w:rFonts w:cs="Arial"/>
          <w:color w:val="000000"/>
          <w:szCs w:val="22"/>
          <w:shd w:val="clear" w:color="auto" w:fill="FFFFFF"/>
        </w:rPr>
        <w:t>“</w:t>
      </w:r>
      <w:r w:rsidR="007C16BB" w:rsidRPr="006923AE">
        <w:rPr>
          <w:rFonts w:cs="Arial"/>
          <w:color w:val="000000"/>
          <w:szCs w:val="22"/>
          <w:shd w:val="clear" w:color="auto" w:fill="FFFFFF"/>
        </w:rPr>
        <w:t>Area U</w:t>
      </w:r>
      <w:r w:rsidR="009468BE" w:rsidRPr="006923AE">
        <w:rPr>
          <w:rFonts w:cs="Arial"/>
          <w:color w:val="000000"/>
          <w:szCs w:val="22"/>
          <w:shd w:val="clear" w:color="auto" w:fill="FFFFFF"/>
        </w:rPr>
        <w:t>”</w:t>
      </w:r>
      <w:r w:rsidR="007C16BB" w:rsidRPr="006923AE">
        <w:rPr>
          <w:rFonts w:cs="Arial"/>
          <w:color w:val="000000"/>
          <w:szCs w:val="22"/>
          <w:shd w:val="clear" w:color="auto" w:fill="FFFFFF"/>
        </w:rPr>
        <w:t xml:space="preserve"> </w:t>
      </w:r>
      <w:r w:rsidR="0041363B" w:rsidRPr="006923AE">
        <w:rPr>
          <w:rFonts w:cs="Arial"/>
          <w:color w:val="000000"/>
          <w:szCs w:val="22"/>
          <w:shd w:val="clear" w:color="auto" w:fill="FFFFFF"/>
        </w:rPr>
        <w:t xml:space="preserve">regarding the applicable FSR </w:t>
      </w:r>
      <w:r w:rsidR="009468BE" w:rsidRPr="006923AE">
        <w:rPr>
          <w:rFonts w:cs="Arial"/>
          <w:color w:val="000000"/>
          <w:szCs w:val="22"/>
          <w:shd w:val="clear" w:color="auto" w:fill="FFFFFF"/>
        </w:rPr>
        <w:t xml:space="preserve">for the </w:t>
      </w:r>
      <w:r w:rsidR="0041363B" w:rsidRPr="006923AE">
        <w:rPr>
          <w:rFonts w:cs="Arial"/>
          <w:color w:val="000000"/>
          <w:szCs w:val="22"/>
          <w:shd w:val="clear" w:color="auto" w:fill="FFFFFF"/>
        </w:rPr>
        <w:t>Manly planning controls</w:t>
      </w:r>
      <w:r w:rsidR="007C16BB" w:rsidRPr="006923AE">
        <w:rPr>
          <w:rFonts w:cs="Arial"/>
          <w:color w:val="000000"/>
          <w:szCs w:val="22"/>
          <w:shd w:val="clear" w:color="auto" w:fill="FFFFFF"/>
        </w:rPr>
        <w:t>.</w:t>
      </w:r>
    </w:p>
    <w:p w:rsidR="00511F8F" w:rsidRPr="006923AE" w:rsidRDefault="007C16BB" w:rsidP="00B86EDF">
      <w:pPr>
        <w:pStyle w:val="BodyText"/>
        <w:rPr>
          <w:rFonts w:cs="Arial"/>
          <w:b/>
          <w:color w:val="000000"/>
          <w:szCs w:val="22"/>
          <w:u w:val="single"/>
          <w:shd w:val="clear" w:color="auto" w:fill="FFFFFF"/>
        </w:rPr>
      </w:pPr>
      <w:r w:rsidRPr="006923AE">
        <w:rPr>
          <w:rFonts w:cs="Arial"/>
          <w:b/>
          <w:color w:val="000000"/>
          <w:szCs w:val="22"/>
          <w:u w:val="single"/>
          <w:shd w:val="clear" w:color="auto" w:fill="FFFFFF"/>
        </w:rPr>
        <w:t>Background</w:t>
      </w:r>
    </w:p>
    <w:p w:rsidR="00511F8F" w:rsidRPr="006923AE" w:rsidRDefault="00511F8F" w:rsidP="00B86EDF">
      <w:pPr>
        <w:pStyle w:val="BodyText"/>
        <w:rPr>
          <w:rFonts w:cs="Arial"/>
          <w:szCs w:val="22"/>
        </w:rPr>
      </w:pPr>
      <w:r w:rsidRPr="006923AE">
        <w:rPr>
          <w:rFonts w:cs="Arial"/>
          <w:color w:val="000000"/>
          <w:szCs w:val="22"/>
          <w:shd w:val="clear" w:color="auto" w:fill="FFFFFF"/>
        </w:rPr>
        <w:t xml:space="preserve">On existing sites in </w:t>
      </w:r>
      <w:r w:rsidR="00633603" w:rsidRPr="006923AE">
        <w:rPr>
          <w:rFonts w:cs="Arial"/>
          <w:color w:val="000000"/>
          <w:szCs w:val="22"/>
          <w:shd w:val="clear" w:color="auto" w:fill="FFFFFF"/>
        </w:rPr>
        <w:t xml:space="preserve">certain </w:t>
      </w:r>
      <w:r w:rsidRPr="006923AE">
        <w:rPr>
          <w:rFonts w:cs="Arial"/>
          <w:color w:val="000000"/>
          <w:szCs w:val="22"/>
          <w:shd w:val="clear" w:color="auto" w:fill="FFFFFF"/>
        </w:rPr>
        <w:t>Residential LEP Zones (including E3 &amp; E4)</w:t>
      </w:r>
      <w:r w:rsidR="0041363B" w:rsidRPr="006923AE">
        <w:rPr>
          <w:rFonts w:cs="Arial"/>
          <w:color w:val="000000"/>
          <w:szCs w:val="22"/>
          <w:shd w:val="clear" w:color="auto" w:fill="FFFFFF"/>
        </w:rPr>
        <w:t>,</w:t>
      </w:r>
      <w:r w:rsidRPr="006923AE">
        <w:rPr>
          <w:rFonts w:cs="Arial"/>
          <w:color w:val="000000"/>
          <w:szCs w:val="22"/>
          <w:shd w:val="clear" w:color="auto" w:fill="FFFFFF"/>
        </w:rPr>
        <w:t xml:space="preserve"> with a site area less than the minimum lot size required </w:t>
      </w:r>
      <w:r w:rsidRPr="006923AE">
        <w:rPr>
          <w:rFonts w:cs="Arial"/>
          <w:szCs w:val="22"/>
          <w:shd w:val="clear" w:color="auto" w:fill="FFFFFF"/>
        </w:rPr>
        <w:t>on the</w:t>
      </w:r>
      <w:r w:rsidR="0041363B" w:rsidRPr="006923AE">
        <w:rPr>
          <w:rFonts w:cs="Arial"/>
          <w:szCs w:val="22"/>
          <w:shd w:val="clear" w:color="auto" w:fill="FFFFFF"/>
        </w:rPr>
        <w:t xml:space="preserve"> </w:t>
      </w:r>
      <w:r w:rsidRPr="006923AE">
        <w:rPr>
          <w:rFonts w:cs="Arial"/>
          <w:szCs w:val="22"/>
          <w:shd w:val="clear" w:color="auto" w:fill="FFFFFF"/>
        </w:rPr>
        <w:t xml:space="preserve">LEP Lot Size (LSZ) Map, Council may consider exceptions to the maximum FSR under </w:t>
      </w:r>
      <w:r w:rsidR="00633603" w:rsidRPr="006923AE">
        <w:rPr>
          <w:rFonts w:cs="Arial"/>
          <w:szCs w:val="22"/>
          <w:shd w:val="clear" w:color="auto" w:fill="FFFFFF"/>
        </w:rPr>
        <w:t xml:space="preserve">Manly </w:t>
      </w:r>
      <w:r w:rsidRPr="006923AE">
        <w:rPr>
          <w:rFonts w:cs="Arial"/>
          <w:szCs w:val="22"/>
          <w:shd w:val="clear" w:color="auto" w:fill="FFFFFF"/>
        </w:rPr>
        <w:t xml:space="preserve">LEP </w:t>
      </w:r>
      <w:r w:rsidR="00633603" w:rsidRPr="006923AE">
        <w:rPr>
          <w:rFonts w:cs="Arial"/>
          <w:szCs w:val="22"/>
          <w:shd w:val="clear" w:color="auto" w:fill="FFFFFF"/>
        </w:rPr>
        <w:t>C</w:t>
      </w:r>
      <w:r w:rsidRPr="006923AE">
        <w:rPr>
          <w:rFonts w:cs="Arial"/>
          <w:szCs w:val="22"/>
          <w:shd w:val="clear" w:color="auto" w:fill="FFFFFF"/>
        </w:rPr>
        <w:t xml:space="preserve">lause 4.6 when both the relevant LEP objectives and the provisions of </w:t>
      </w:r>
      <w:r w:rsidR="00633603" w:rsidRPr="006923AE">
        <w:rPr>
          <w:rFonts w:cs="Arial"/>
          <w:szCs w:val="22"/>
          <w:shd w:val="clear" w:color="auto" w:fill="FFFFFF"/>
        </w:rPr>
        <w:t>the Manly</w:t>
      </w:r>
      <w:r w:rsidRPr="006923AE">
        <w:rPr>
          <w:rFonts w:cs="Arial"/>
          <w:szCs w:val="22"/>
          <w:shd w:val="clear" w:color="auto" w:fill="FFFFFF"/>
        </w:rPr>
        <w:t xml:space="preserve"> DCP are satisfied.</w:t>
      </w:r>
    </w:p>
    <w:p w:rsidR="00AD063E" w:rsidRPr="006923AE" w:rsidRDefault="00ED66DD" w:rsidP="00B86EDF">
      <w:pPr>
        <w:pStyle w:val="BodyText"/>
        <w:rPr>
          <w:rFonts w:cs="Arial"/>
          <w:szCs w:val="22"/>
        </w:rPr>
      </w:pPr>
      <w:r w:rsidRPr="006923AE">
        <w:rPr>
          <w:rFonts w:cs="Arial"/>
          <w:szCs w:val="22"/>
        </w:rPr>
        <w:t>In this case</w:t>
      </w:r>
      <w:r w:rsidR="0024634B" w:rsidRPr="006923AE">
        <w:rPr>
          <w:rFonts w:cs="Arial"/>
          <w:szCs w:val="22"/>
        </w:rPr>
        <w:t xml:space="preserve"> </w:t>
      </w:r>
      <w:r w:rsidRPr="006923AE">
        <w:rPr>
          <w:rFonts w:cs="Arial"/>
          <w:szCs w:val="22"/>
        </w:rPr>
        <w:t>t</w:t>
      </w:r>
      <w:r w:rsidR="0024634B" w:rsidRPr="006923AE">
        <w:rPr>
          <w:rFonts w:cs="Arial"/>
          <w:szCs w:val="22"/>
        </w:rPr>
        <w:t xml:space="preserve">he </w:t>
      </w:r>
      <w:r w:rsidRPr="006923AE">
        <w:rPr>
          <w:rFonts w:cs="Arial"/>
          <w:szCs w:val="22"/>
        </w:rPr>
        <w:t xml:space="preserve">Manly </w:t>
      </w:r>
      <w:r w:rsidR="0024634B" w:rsidRPr="006923AE">
        <w:rPr>
          <w:rFonts w:cs="Arial"/>
          <w:szCs w:val="22"/>
        </w:rPr>
        <w:t xml:space="preserve">LEP requires compliance with 0.4:1 FSR based on the </w:t>
      </w:r>
      <w:r w:rsidRPr="006923AE">
        <w:rPr>
          <w:rFonts w:cs="Arial"/>
          <w:szCs w:val="22"/>
        </w:rPr>
        <w:t>actual site area of</w:t>
      </w:r>
      <w:r w:rsidR="0024634B" w:rsidRPr="006923AE">
        <w:rPr>
          <w:rFonts w:cs="Arial"/>
          <w:szCs w:val="22"/>
        </w:rPr>
        <w:t xml:space="preserve"> 6</w:t>
      </w:r>
      <w:r w:rsidR="00AD063E" w:rsidRPr="006923AE">
        <w:rPr>
          <w:rFonts w:cs="Arial"/>
          <w:szCs w:val="22"/>
        </w:rPr>
        <w:t>26.8</w:t>
      </w:r>
      <w:r w:rsidR="0024634B" w:rsidRPr="006923AE">
        <w:rPr>
          <w:rFonts w:cs="Arial"/>
          <w:szCs w:val="22"/>
        </w:rPr>
        <w:t xml:space="preserve">sqm which limits the </w:t>
      </w:r>
      <w:r w:rsidRPr="006923AE">
        <w:rPr>
          <w:rFonts w:cs="Arial"/>
          <w:szCs w:val="22"/>
        </w:rPr>
        <w:t xml:space="preserve">proposed </w:t>
      </w:r>
      <w:r w:rsidR="0024634B" w:rsidRPr="006923AE">
        <w:rPr>
          <w:rFonts w:cs="Arial"/>
          <w:szCs w:val="22"/>
        </w:rPr>
        <w:t>dwelling floor area to 250</w:t>
      </w:r>
      <w:r w:rsidR="00AD063E" w:rsidRPr="006923AE">
        <w:rPr>
          <w:rFonts w:cs="Arial"/>
          <w:szCs w:val="22"/>
        </w:rPr>
        <w:t>.72</w:t>
      </w:r>
      <w:r w:rsidR="0024634B" w:rsidRPr="006923AE">
        <w:rPr>
          <w:rFonts w:cs="Arial"/>
          <w:szCs w:val="22"/>
        </w:rPr>
        <w:t>sqm</w:t>
      </w:r>
      <w:r w:rsidR="00AD063E" w:rsidRPr="006923AE">
        <w:rPr>
          <w:rFonts w:cs="Arial"/>
          <w:szCs w:val="22"/>
        </w:rPr>
        <w:t>. The amended design has a floor area of 300sqm and therefore under the LEP varies the FSR by 49.28sqm or 19.6%</w:t>
      </w:r>
      <w:r w:rsidR="00633603" w:rsidRPr="006923AE">
        <w:rPr>
          <w:rFonts w:cs="Arial"/>
          <w:szCs w:val="22"/>
        </w:rPr>
        <w:t xml:space="preserve"> with an FSR of 0:47:1 for the existing lot size</w:t>
      </w:r>
      <w:r w:rsidR="00AD063E" w:rsidRPr="006923AE">
        <w:rPr>
          <w:rFonts w:cs="Arial"/>
          <w:szCs w:val="22"/>
        </w:rPr>
        <w:t xml:space="preserve">. </w:t>
      </w:r>
      <w:r w:rsidR="00AD063E" w:rsidRPr="006923AE">
        <w:rPr>
          <w:rFonts w:cs="Arial"/>
          <w:szCs w:val="22"/>
        </w:rPr>
        <w:br/>
      </w:r>
      <w:r w:rsidR="00AD063E" w:rsidRPr="006923AE">
        <w:rPr>
          <w:rFonts w:cs="Arial"/>
          <w:szCs w:val="22"/>
        </w:rPr>
        <w:br/>
      </w:r>
      <w:r w:rsidRPr="006923AE">
        <w:rPr>
          <w:rFonts w:cs="Arial"/>
          <w:szCs w:val="22"/>
        </w:rPr>
        <w:t>Pursuant to Clause 4.1.3.1 t</w:t>
      </w:r>
      <w:r w:rsidR="00AD063E" w:rsidRPr="006923AE">
        <w:rPr>
          <w:rFonts w:cs="Arial"/>
          <w:szCs w:val="22"/>
        </w:rPr>
        <w:t xml:space="preserve">he proposal complies with the FSR numerical exception allowed for area “U” based on a 750sqm lot size category </w:t>
      </w:r>
      <w:r w:rsidR="00633603" w:rsidRPr="006923AE">
        <w:rPr>
          <w:rFonts w:cs="Arial"/>
          <w:szCs w:val="22"/>
        </w:rPr>
        <w:t>being 0:4:1</w:t>
      </w:r>
      <w:r w:rsidRPr="006923AE">
        <w:rPr>
          <w:rFonts w:cs="Arial"/>
          <w:szCs w:val="22"/>
        </w:rPr>
        <w:t xml:space="preserve"> ratio</w:t>
      </w:r>
      <w:r w:rsidR="00633603" w:rsidRPr="006923AE">
        <w:rPr>
          <w:rFonts w:cs="Arial"/>
          <w:szCs w:val="22"/>
        </w:rPr>
        <w:t xml:space="preserve"> that allows 300sqm floor area</w:t>
      </w:r>
      <w:r w:rsidR="00AD063E" w:rsidRPr="006923AE">
        <w:rPr>
          <w:rFonts w:cs="Arial"/>
          <w:szCs w:val="22"/>
        </w:rPr>
        <w:t xml:space="preserve">. </w:t>
      </w:r>
    </w:p>
    <w:p w:rsidR="001C418B" w:rsidRDefault="001C418B">
      <w:pPr>
        <w:rPr>
          <w:rFonts w:cs="Arial"/>
          <w:b/>
          <w:szCs w:val="22"/>
          <w:u w:val="single"/>
        </w:rPr>
      </w:pPr>
      <w:r>
        <w:rPr>
          <w:rFonts w:cs="Arial"/>
          <w:b/>
          <w:szCs w:val="22"/>
          <w:u w:val="single"/>
        </w:rPr>
        <w:br w:type="page"/>
      </w:r>
    </w:p>
    <w:p w:rsidR="009468BE" w:rsidRPr="006923AE" w:rsidRDefault="009468BE" w:rsidP="0041363B">
      <w:pPr>
        <w:rPr>
          <w:rFonts w:cs="Arial"/>
          <w:b/>
          <w:szCs w:val="22"/>
          <w:u w:val="single"/>
        </w:rPr>
      </w:pPr>
      <w:r w:rsidRPr="006923AE">
        <w:rPr>
          <w:rFonts w:cs="Arial"/>
          <w:b/>
          <w:szCs w:val="22"/>
          <w:u w:val="single"/>
        </w:rPr>
        <w:lastRenderedPageBreak/>
        <w:t>Assessment</w:t>
      </w:r>
    </w:p>
    <w:p w:rsidR="009468BE" w:rsidRPr="006923AE" w:rsidRDefault="009468BE" w:rsidP="0041363B">
      <w:pPr>
        <w:rPr>
          <w:rFonts w:cs="Arial"/>
          <w:b/>
          <w:szCs w:val="22"/>
          <w:u w:val="single"/>
        </w:rPr>
      </w:pPr>
    </w:p>
    <w:p w:rsidR="0041363B" w:rsidRPr="006923AE" w:rsidRDefault="00AD063E" w:rsidP="0041363B">
      <w:pPr>
        <w:rPr>
          <w:rFonts w:cs="Arial"/>
          <w:szCs w:val="22"/>
        </w:rPr>
      </w:pPr>
      <w:r w:rsidRPr="006923AE">
        <w:rPr>
          <w:rFonts w:cs="Arial"/>
          <w:b/>
          <w:szCs w:val="22"/>
          <w:u w:val="single"/>
        </w:rPr>
        <w:t>4.6 Variation to F</w:t>
      </w:r>
      <w:r w:rsidR="009468BE" w:rsidRPr="006923AE">
        <w:rPr>
          <w:rFonts w:cs="Arial"/>
          <w:b/>
          <w:szCs w:val="22"/>
          <w:u w:val="single"/>
        </w:rPr>
        <w:t xml:space="preserve">loor </w:t>
      </w:r>
      <w:r w:rsidRPr="006923AE">
        <w:rPr>
          <w:rFonts w:cs="Arial"/>
          <w:b/>
          <w:szCs w:val="22"/>
          <w:u w:val="single"/>
        </w:rPr>
        <w:t>S</w:t>
      </w:r>
      <w:r w:rsidR="009468BE" w:rsidRPr="006923AE">
        <w:rPr>
          <w:rFonts w:cs="Arial"/>
          <w:b/>
          <w:szCs w:val="22"/>
          <w:u w:val="single"/>
        </w:rPr>
        <w:t xml:space="preserve">pace </w:t>
      </w:r>
      <w:r w:rsidRPr="006923AE">
        <w:rPr>
          <w:rFonts w:cs="Arial"/>
          <w:b/>
          <w:szCs w:val="22"/>
          <w:u w:val="single"/>
        </w:rPr>
        <w:t>R</w:t>
      </w:r>
      <w:r w:rsidR="009468BE" w:rsidRPr="006923AE">
        <w:rPr>
          <w:rFonts w:cs="Arial"/>
          <w:b/>
          <w:szCs w:val="22"/>
          <w:u w:val="single"/>
        </w:rPr>
        <w:t>atio</w:t>
      </w:r>
      <w:r w:rsidRPr="006923AE">
        <w:rPr>
          <w:rFonts w:cs="Arial"/>
          <w:b/>
          <w:szCs w:val="22"/>
          <w:u w:val="single"/>
        </w:rPr>
        <w:br/>
      </w:r>
      <w:r w:rsidRPr="006923AE">
        <w:rPr>
          <w:rFonts w:cs="Arial"/>
          <w:b/>
          <w:szCs w:val="22"/>
        </w:rPr>
        <w:br/>
      </w:r>
      <w:r w:rsidR="0041363B" w:rsidRPr="006923AE">
        <w:rPr>
          <w:rFonts w:cs="Arial"/>
          <w:color w:val="000000"/>
          <w:szCs w:val="22"/>
          <w:u w:val="single"/>
          <w:shd w:val="clear" w:color="auto" w:fill="FFFFFF"/>
        </w:rPr>
        <w:t>Description of non-compliance:</w:t>
      </w:r>
      <w:r w:rsidR="0041363B" w:rsidRPr="006923AE">
        <w:rPr>
          <w:rFonts w:cs="Arial"/>
          <w:color w:val="000000"/>
          <w:szCs w:val="22"/>
          <w:u w:val="single"/>
          <w:shd w:val="clear" w:color="auto" w:fill="FFFFFF"/>
        </w:rPr>
        <w:br/>
      </w:r>
      <w:r w:rsidR="0041363B" w:rsidRPr="006923AE">
        <w:rPr>
          <w:rFonts w:cs="Arial"/>
          <w:color w:val="000000"/>
          <w:szCs w:val="22"/>
          <w:shd w:val="clear" w:color="auto" w:fill="FFFFFF"/>
        </w:rPr>
        <w:t> </w:t>
      </w:r>
    </w:p>
    <w:tbl>
      <w:tblPr>
        <w:tblW w:w="4950" w:type="pct"/>
        <w:tblBorders>
          <w:top w:val="dashed" w:sz="6" w:space="0" w:color="CCCCCC"/>
          <w:left w:val="dashed" w:sz="6" w:space="0" w:color="CCCCCC"/>
          <w:bottom w:val="dashed" w:sz="6" w:space="0" w:color="CCCCCC"/>
          <w:right w:val="dashed"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5642"/>
        <w:gridCol w:w="2762"/>
      </w:tblGrid>
      <w:tr w:rsidR="0041363B" w:rsidRPr="0041363B" w:rsidTr="0041363B">
        <w:tc>
          <w:tcPr>
            <w:tcW w:w="18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30" w:type="dxa"/>
            </w:tcMar>
            <w:hideMark/>
          </w:tcPr>
          <w:p w:rsidR="0041363B" w:rsidRPr="0041363B" w:rsidRDefault="0041363B" w:rsidP="0041363B">
            <w:pPr>
              <w:rPr>
                <w:rFonts w:cs="Arial"/>
                <w:color w:val="000000"/>
                <w:szCs w:val="22"/>
              </w:rPr>
            </w:pPr>
            <w:r w:rsidRPr="0041363B">
              <w:rPr>
                <w:rFonts w:cs="Arial"/>
                <w:color w:val="000000"/>
                <w:szCs w:val="22"/>
              </w:rPr>
              <w:t> Development standard:</w:t>
            </w:r>
          </w:p>
        </w:tc>
        <w:tc>
          <w:tcPr>
            <w:tcW w:w="7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30" w:type="dxa"/>
            </w:tcMar>
            <w:hideMark/>
          </w:tcPr>
          <w:p w:rsidR="0041363B" w:rsidRPr="0041363B" w:rsidRDefault="0041363B" w:rsidP="0041363B">
            <w:pPr>
              <w:rPr>
                <w:rFonts w:cs="Arial"/>
                <w:color w:val="000000"/>
                <w:szCs w:val="22"/>
              </w:rPr>
            </w:pPr>
            <w:r w:rsidRPr="0041363B">
              <w:rPr>
                <w:rFonts w:cs="Arial"/>
                <w:color w:val="000000"/>
                <w:szCs w:val="22"/>
              </w:rPr>
              <w:t>0.4:1 (Existing site area of 626.8sqm)</w:t>
            </w:r>
          </w:p>
        </w:tc>
      </w:tr>
      <w:tr w:rsidR="0041363B" w:rsidRPr="0041363B" w:rsidTr="0041363B">
        <w:tc>
          <w:tcPr>
            <w:tcW w:w="18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30" w:type="dxa"/>
            </w:tcMar>
            <w:hideMark/>
          </w:tcPr>
          <w:p w:rsidR="0041363B" w:rsidRPr="0041363B" w:rsidRDefault="0041363B" w:rsidP="0041363B">
            <w:pPr>
              <w:rPr>
                <w:rFonts w:cs="Arial"/>
                <w:color w:val="000000"/>
                <w:szCs w:val="22"/>
              </w:rPr>
            </w:pPr>
            <w:r w:rsidRPr="0041363B">
              <w:rPr>
                <w:rFonts w:cs="Arial"/>
                <w:color w:val="000000"/>
                <w:szCs w:val="22"/>
              </w:rPr>
              <w:t> Requirement:</w:t>
            </w:r>
          </w:p>
        </w:tc>
        <w:tc>
          <w:tcPr>
            <w:tcW w:w="7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30" w:type="dxa"/>
            </w:tcMar>
            <w:hideMark/>
          </w:tcPr>
          <w:p w:rsidR="0041363B" w:rsidRPr="0041363B" w:rsidRDefault="0041363B" w:rsidP="0041363B">
            <w:pPr>
              <w:rPr>
                <w:rFonts w:cs="Arial"/>
                <w:color w:val="000000"/>
                <w:szCs w:val="22"/>
              </w:rPr>
            </w:pPr>
            <w:r w:rsidRPr="0041363B">
              <w:rPr>
                <w:rFonts w:cs="Arial"/>
                <w:color w:val="000000"/>
                <w:szCs w:val="22"/>
              </w:rPr>
              <w:t>250.72 sqm</w:t>
            </w:r>
          </w:p>
        </w:tc>
      </w:tr>
      <w:tr w:rsidR="0041363B" w:rsidRPr="0041363B" w:rsidTr="004136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30" w:type="dxa"/>
            </w:tcMar>
            <w:hideMark/>
          </w:tcPr>
          <w:p w:rsidR="0041363B" w:rsidRPr="0041363B" w:rsidRDefault="0041363B" w:rsidP="0041363B">
            <w:pPr>
              <w:rPr>
                <w:rFonts w:cs="Arial"/>
                <w:color w:val="000000"/>
                <w:szCs w:val="22"/>
              </w:rPr>
            </w:pPr>
            <w:r w:rsidRPr="0041363B">
              <w:rPr>
                <w:rFonts w:cs="Arial"/>
                <w:color w:val="000000"/>
                <w:szCs w:val="22"/>
              </w:rPr>
              <w:t> Proposed: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30" w:type="dxa"/>
            </w:tcMar>
            <w:hideMark/>
          </w:tcPr>
          <w:p w:rsidR="0041363B" w:rsidRPr="0041363B" w:rsidRDefault="0041363B" w:rsidP="0041363B">
            <w:pPr>
              <w:rPr>
                <w:rFonts w:cs="Arial"/>
                <w:color w:val="000000"/>
                <w:szCs w:val="22"/>
              </w:rPr>
            </w:pPr>
            <w:r w:rsidRPr="0041363B">
              <w:rPr>
                <w:rFonts w:cs="Arial"/>
                <w:color w:val="000000"/>
                <w:szCs w:val="22"/>
              </w:rPr>
              <w:t>0:47:1m (300sqm)</w:t>
            </w:r>
          </w:p>
        </w:tc>
      </w:tr>
      <w:tr w:rsidR="0041363B" w:rsidRPr="0041363B" w:rsidTr="004136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30" w:type="dxa"/>
            </w:tcMar>
            <w:hideMark/>
          </w:tcPr>
          <w:p w:rsidR="0041363B" w:rsidRPr="0041363B" w:rsidRDefault="0041363B" w:rsidP="0041363B">
            <w:pPr>
              <w:rPr>
                <w:rFonts w:cs="Arial"/>
                <w:color w:val="000000"/>
                <w:szCs w:val="22"/>
              </w:rPr>
            </w:pPr>
            <w:r w:rsidRPr="0041363B">
              <w:rPr>
                <w:rFonts w:cs="Arial"/>
                <w:color w:val="000000"/>
                <w:szCs w:val="22"/>
              </w:rPr>
              <w:t> Percentage variation to requirement: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30" w:type="dxa"/>
            </w:tcMar>
            <w:hideMark/>
          </w:tcPr>
          <w:p w:rsidR="0041363B" w:rsidRPr="0041363B" w:rsidRDefault="0041363B" w:rsidP="0041363B">
            <w:pPr>
              <w:rPr>
                <w:rFonts w:cs="Arial"/>
                <w:color w:val="000000"/>
                <w:szCs w:val="22"/>
              </w:rPr>
            </w:pPr>
            <w:r w:rsidRPr="0041363B">
              <w:rPr>
                <w:rFonts w:cs="Arial"/>
                <w:color w:val="000000"/>
                <w:szCs w:val="22"/>
              </w:rPr>
              <w:t>19.6%</w:t>
            </w:r>
          </w:p>
        </w:tc>
      </w:tr>
    </w:tbl>
    <w:p w:rsidR="0041363B" w:rsidRPr="0041363B" w:rsidRDefault="0041363B" w:rsidP="0041363B">
      <w:pPr>
        <w:rPr>
          <w:rFonts w:cs="Arial"/>
          <w:szCs w:val="22"/>
        </w:rPr>
      </w:pPr>
      <w:r w:rsidRPr="0041363B">
        <w:rPr>
          <w:rFonts w:cs="Arial"/>
          <w:color w:val="000000"/>
          <w:szCs w:val="22"/>
          <w:shd w:val="clear" w:color="auto" w:fill="FFFFFF"/>
        </w:rPr>
        <w:br/>
      </w:r>
      <w:r w:rsidRPr="0041363B">
        <w:rPr>
          <w:rFonts w:cs="Arial"/>
          <w:b/>
          <w:color w:val="000000"/>
          <w:szCs w:val="22"/>
          <w:u w:val="single"/>
          <w:shd w:val="clear" w:color="auto" w:fill="FFFFFF"/>
        </w:rPr>
        <w:t>Assessment of request to vary a development standard</w:t>
      </w:r>
      <w:proofErr w:type="gramStart"/>
      <w:r w:rsidRPr="0041363B">
        <w:rPr>
          <w:rFonts w:cs="Arial"/>
          <w:b/>
          <w:color w:val="000000"/>
          <w:szCs w:val="22"/>
          <w:u w:val="single"/>
          <w:shd w:val="clear" w:color="auto" w:fill="FFFFFF"/>
        </w:rPr>
        <w:t>:</w:t>
      </w:r>
      <w:proofErr w:type="gramEnd"/>
      <w:r w:rsidRPr="0041363B">
        <w:rPr>
          <w:rFonts w:cs="Arial"/>
          <w:b/>
          <w:color w:val="000000"/>
          <w:szCs w:val="22"/>
          <w:u w:val="single"/>
          <w:shd w:val="clear" w:color="auto" w:fill="FFFFFF"/>
        </w:rPr>
        <w:br/>
      </w:r>
      <w:r w:rsidRPr="0041363B">
        <w:rPr>
          <w:rFonts w:cs="Arial"/>
          <w:color w:val="000000"/>
          <w:szCs w:val="22"/>
          <w:shd w:val="clear" w:color="auto" w:fill="FFFFFF"/>
        </w:rPr>
        <w:br/>
        <w:t>The following assessment of the variation to Clause 4.4 - Floor space ratio development standard, has taken into consideration the recent judgement contained within </w:t>
      </w:r>
      <w:r w:rsidRPr="0041363B">
        <w:rPr>
          <w:rFonts w:cs="Arial"/>
          <w:i/>
          <w:iCs/>
          <w:color w:val="000000"/>
          <w:szCs w:val="22"/>
          <w:shd w:val="clear" w:color="auto" w:fill="FFFFFF"/>
        </w:rPr>
        <w:t>Initial Action Pty Ltd v Woollahra Municipal Council [2018] NSWLEC 118, Baron Corporation Pty Limited v Council of the City of Sydney [2019] NSWLEC 61, </w:t>
      </w:r>
      <w:r w:rsidRPr="0041363B">
        <w:rPr>
          <w:rFonts w:cs="Arial"/>
          <w:color w:val="000000"/>
          <w:szCs w:val="22"/>
          <w:shd w:val="clear" w:color="auto" w:fill="FFFFFF"/>
        </w:rPr>
        <w:t>and </w:t>
      </w:r>
      <w:proofErr w:type="spellStart"/>
      <w:r w:rsidRPr="0041363B">
        <w:rPr>
          <w:rFonts w:cs="Arial"/>
          <w:i/>
          <w:iCs/>
          <w:color w:val="000000"/>
          <w:szCs w:val="22"/>
          <w:shd w:val="clear" w:color="auto" w:fill="FFFFFF"/>
        </w:rPr>
        <w:t>RebelMH</w:t>
      </w:r>
      <w:proofErr w:type="spellEnd"/>
      <w:r w:rsidRPr="0041363B">
        <w:rPr>
          <w:rFonts w:cs="Arial"/>
          <w:i/>
          <w:iCs/>
          <w:color w:val="000000"/>
          <w:szCs w:val="22"/>
          <w:shd w:val="clear" w:color="auto" w:fill="FFFFFF"/>
        </w:rPr>
        <w:t xml:space="preserve"> Neutral Bay Pty Limited v North Sydney Council [2019] NSWCA 130</w:t>
      </w:r>
      <w:r w:rsidRPr="0041363B">
        <w:rPr>
          <w:rFonts w:cs="Arial"/>
          <w:color w:val="000000"/>
          <w:szCs w:val="22"/>
          <w:shd w:val="clear" w:color="auto" w:fill="FFFFFF"/>
        </w:rPr>
        <w:t>.</w:t>
      </w:r>
      <w:r w:rsidRPr="0041363B">
        <w:rPr>
          <w:rFonts w:cs="Arial"/>
          <w:color w:val="000000"/>
          <w:szCs w:val="22"/>
          <w:shd w:val="clear" w:color="auto" w:fill="FFFFFF"/>
        </w:rPr>
        <w:br/>
      </w:r>
      <w:r w:rsidRPr="0041363B">
        <w:rPr>
          <w:rFonts w:cs="Arial"/>
          <w:color w:val="000000"/>
          <w:szCs w:val="22"/>
        </w:rPr>
        <w:br/>
      </w:r>
      <w:r w:rsidRPr="0041363B">
        <w:rPr>
          <w:rFonts w:cs="Arial"/>
          <w:b/>
          <w:color w:val="000000"/>
          <w:szCs w:val="22"/>
          <w:u w:val="single"/>
          <w:shd w:val="clear" w:color="auto" w:fill="FFFFFF"/>
        </w:rPr>
        <w:t>Clause 4.6 Exceptions to development standards</w:t>
      </w:r>
      <w:proofErr w:type="gramStart"/>
      <w:r w:rsidRPr="0041363B">
        <w:rPr>
          <w:rFonts w:cs="Arial"/>
          <w:b/>
          <w:color w:val="000000"/>
          <w:szCs w:val="22"/>
          <w:u w:val="single"/>
          <w:shd w:val="clear" w:color="auto" w:fill="FFFFFF"/>
        </w:rPr>
        <w:t>:</w:t>
      </w:r>
      <w:proofErr w:type="gramEnd"/>
      <w:r w:rsidRPr="0041363B">
        <w:rPr>
          <w:rFonts w:cs="Arial"/>
          <w:b/>
          <w:color w:val="000000"/>
          <w:szCs w:val="22"/>
          <w:u w:val="single"/>
          <w:shd w:val="clear" w:color="auto" w:fill="FFFFFF"/>
        </w:rPr>
        <w:br/>
      </w:r>
      <w:r w:rsidRPr="0041363B">
        <w:rPr>
          <w:rFonts w:cs="Arial"/>
          <w:color w:val="000000"/>
          <w:szCs w:val="22"/>
        </w:rPr>
        <w:br/>
      </w:r>
      <w:r w:rsidRPr="0041363B">
        <w:rPr>
          <w:rFonts w:cs="Arial"/>
          <w:i/>
          <w:iCs/>
          <w:color w:val="000000"/>
          <w:szCs w:val="22"/>
          <w:shd w:val="clear" w:color="auto" w:fill="FFFFFF"/>
        </w:rPr>
        <w:t>(1) The objectives of this clause are as follows:</w:t>
      </w:r>
      <w:r w:rsidRPr="0041363B">
        <w:rPr>
          <w:rFonts w:cs="Arial"/>
          <w:i/>
          <w:iCs/>
          <w:color w:val="000000"/>
          <w:szCs w:val="22"/>
          <w:shd w:val="clear" w:color="auto" w:fill="FFFFFF"/>
        </w:rPr>
        <w:br/>
        <w:t>(a) to provide an appropriate degree of flexibility in applying certain development standards to particular development,</w:t>
      </w:r>
      <w:r w:rsidRPr="0041363B">
        <w:rPr>
          <w:rFonts w:cs="Arial"/>
          <w:i/>
          <w:iCs/>
          <w:color w:val="000000"/>
          <w:szCs w:val="22"/>
          <w:shd w:val="clear" w:color="auto" w:fill="FFFFFF"/>
        </w:rPr>
        <w:br/>
        <w:t>(b) to achieve better outcomes for and from development by allowing flexibility in particular circumstances.</w:t>
      </w:r>
      <w:r w:rsidRPr="0041363B">
        <w:rPr>
          <w:rFonts w:cs="Arial"/>
          <w:i/>
          <w:iCs/>
          <w:color w:val="000000"/>
          <w:szCs w:val="22"/>
          <w:shd w:val="clear" w:color="auto" w:fill="FFFFFF"/>
        </w:rPr>
        <w:br/>
      </w:r>
      <w:r w:rsidRPr="0041363B">
        <w:rPr>
          <w:rFonts w:cs="Arial"/>
          <w:i/>
          <w:iCs/>
          <w:color w:val="000000"/>
          <w:szCs w:val="22"/>
          <w:shd w:val="clear" w:color="auto" w:fill="FFFFFF"/>
        </w:rPr>
        <w:br/>
        <w:t>(2) Development consent may, subject to this clause, be granted for development even though the development would contravene a development standard imposed by this or any other environmental planning instrument. However, this clause does not apply to a development standard that is expressly excluded from the operation of this clause.</w:t>
      </w:r>
      <w:r w:rsidRPr="0041363B">
        <w:rPr>
          <w:rFonts w:cs="Arial"/>
          <w:i/>
          <w:iCs/>
          <w:color w:val="000000"/>
          <w:szCs w:val="22"/>
          <w:shd w:val="clear" w:color="auto" w:fill="FFFFFF"/>
        </w:rPr>
        <w:br/>
      </w:r>
      <w:r w:rsidRPr="0041363B">
        <w:rPr>
          <w:rFonts w:cs="Arial"/>
          <w:color w:val="000000"/>
          <w:szCs w:val="22"/>
        </w:rPr>
        <w:br/>
      </w:r>
      <w:r w:rsidRPr="0041363B">
        <w:rPr>
          <w:rFonts w:cs="Arial"/>
          <w:color w:val="000000"/>
          <w:szCs w:val="22"/>
          <w:u w:val="single"/>
          <w:shd w:val="clear" w:color="auto" w:fill="FFFFFF"/>
        </w:rPr>
        <w:t>Comment</w:t>
      </w:r>
      <w:proofErr w:type="gramStart"/>
      <w:r w:rsidRPr="0041363B">
        <w:rPr>
          <w:rFonts w:cs="Arial"/>
          <w:color w:val="000000"/>
          <w:szCs w:val="22"/>
          <w:u w:val="single"/>
          <w:shd w:val="clear" w:color="auto" w:fill="FFFFFF"/>
        </w:rPr>
        <w:t>:</w:t>
      </w:r>
      <w:proofErr w:type="gramEnd"/>
      <w:r w:rsidRPr="0041363B">
        <w:rPr>
          <w:rFonts w:cs="Arial"/>
          <w:color w:val="000000"/>
          <w:szCs w:val="22"/>
          <w:u w:val="single"/>
          <w:shd w:val="clear" w:color="auto" w:fill="FFFFFF"/>
        </w:rPr>
        <w:br/>
      </w:r>
      <w:r w:rsidRPr="0041363B">
        <w:rPr>
          <w:rFonts w:cs="Arial"/>
          <w:color w:val="000000"/>
          <w:szCs w:val="22"/>
          <w:shd w:val="clear" w:color="auto" w:fill="FFFFFF"/>
        </w:rPr>
        <w:br/>
        <w:t>Clause 4.4 - Floor space ratio development standard is not expressly excluded from the operation of this clause.</w:t>
      </w:r>
      <w:r w:rsidRPr="0041363B">
        <w:rPr>
          <w:rFonts w:cs="Arial"/>
          <w:color w:val="000000"/>
          <w:szCs w:val="22"/>
          <w:shd w:val="clear" w:color="auto" w:fill="FFFFFF"/>
        </w:rPr>
        <w:br/>
      </w:r>
      <w:r w:rsidRPr="0041363B">
        <w:rPr>
          <w:rFonts w:cs="Arial"/>
          <w:color w:val="000000"/>
          <w:szCs w:val="22"/>
          <w:shd w:val="clear" w:color="auto" w:fill="FFFFFF"/>
        </w:rPr>
        <w:br/>
      </w:r>
      <w:r w:rsidRPr="0041363B">
        <w:rPr>
          <w:rFonts w:cs="Arial"/>
          <w:i/>
          <w:iCs/>
          <w:color w:val="000000"/>
          <w:szCs w:val="22"/>
          <w:shd w:val="clear" w:color="auto" w:fill="FFFFFF"/>
        </w:rPr>
        <w:t>(3) Development consent must not be granted for development that contravenes a development standard unless the consent authority has considered a written request from the applicant that seeks to justify the contravention of the development standard by demonstrating</w:t>
      </w:r>
      <w:proofErr w:type="gramStart"/>
      <w:r w:rsidRPr="0041363B">
        <w:rPr>
          <w:rFonts w:cs="Arial"/>
          <w:i/>
          <w:iCs/>
          <w:color w:val="000000"/>
          <w:szCs w:val="22"/>
          <w:shd w:val="clear" w:color="auto" w:fill="FFFFFF"/>
        </w:rPr>
        <w:t>:</w:t>
      </w:r>
      <w:proofErr w:type="gramEnd"/>
      <w:r w:rsidRPr="0041363B">
        <w:rPr>
          <w:rFonts w:cs="Arial"/>
          <w:i/>
          <w:iCs/>
          <w:color w:val="000000"/>
          <w:szCs w:val="22"/>
          <w:shd w:val="clear" w:color="auto" w:fill="FFFFFF"/>
        </w:rPr>
        <w:br/>
        <w:t>(a) that compliance with the development standard is unreasonable or unnecessary in the circumstances of the case, and</w:t>
      </w:r>
      <w:r w:rsidRPr="0041363B">
        <w:rPr>
          <w:rFonts w:cs="Arial"/>
          <w:i/>
          <w:iCs/>
          <w:color w:val="000000"/>
          <w:szCs w:val="22"/>
          <w:shd w:val="clear" w:color="auto" w:fill="FFFFFF"/>
        </w:rPr>
        <w:br/>
        <w:t>(b) that there are sufficient environmental planning grounds to justify contravening the development standard.</w:t>
      </w:r>
      <w:r w:rsidRPr="0041363B">
        <w:rPr>
          <w:rFonts w:cs="Arial"/>
          <w:i/>
          <w:iCs/>
          <w:color w:val="000000"/>
          <w:szCs w:val="22"/>
          <w:shd w:val="clear" w:color="auto" w:fill="FFFFFF"/>
        </w:rPr>
        <w:br/>
      </w:r>
      <w:r w:rsidRPr="0041363B">
        <w:rPr>
          <w:rFonts w:cs="Arial"/>
          <w:i/>
          <w:iCs/>
          <w:color w:val="000000"/>
          <w:szCs w:val="22"/>
          <w:shd w:val="clear" w:color="auto" w:fill="FFFFFF"/>
        </w:rPr>
        <w:br/>
        <w:t>(4) Development consent must not be granted for development that contravenes a development standard unless:</w:t>
      </w:r>
      <w:r w:rsidRPr="0041363B">
        <w:rPr>
          <w:rFonts w:cs="Arial"/>
          <w:i/>
          <w:iCs/>
          <w:color w:val="000000"/>
          <w:szCs w:val="22"/>
          <w:shd w:val="clear" w:color="auto" w:fill="FFFFFF"/>
        </w:rPr>
        <w:br/>
        <w:t>(a) the consent authority is satisfied that:</w:t>
      </w:r>
      <w:r w:rsidRPr="0041363B">
        <w:rPr>
          <w:rFonts w:cs="Arial"/>
          <w:i/>
          <w:iCs/>
          <w:color w:val="000000"/>
          <w:szCs w:val="22"/>
          <w:shd w:val="clear" w:color="auto" w:fill="FFFFFF"/>
        </w:rPr>
        <w:br/>
        <w:t>(i) the applicant’s written request has adequately addressed the matters required to be demonstrated by subclause (3), and</w:t>
      </w:r>
      <w:r w:rsidRPr="0041363B">
        <w:rPr>
          <w:rFonts w:cs="Arial"/>
          <w:i/>
          <w:iCs/>
          <w:color w:val="000000"/>
          <w:szCs w:val="22"/>
          <w:shd w:val="clear" w:color="auto" w:fill="FFFFFF"/>
        </w:rPr>
        <w:br/>
        <w:t xml:space="preserve">(ii) the proposed development will be in the public interest because it is consistent with </w:t>
      </w:r>
      <w:r w:rsidRPr="0041363B">
        <w:rPr>
          <w:rFonts w:cs="Arial"/>
          <w:i/>
          <w:iCs/>
          <w:color w:val="000000"/>
          <w:szCs w:val="22"/>
          <w:shd w:val="clear" w:color="auto" w:fill="FFFFFF"/>
        </w:rPr>
        <w:lastRenderedPageBreak/>
        <w:t>the objectives of the particular standard and the objectives for development within the zone in which the development is proposed to be carried out, and</w:t>
      </w:r>
      <w:r w:rsidRPr="0041363B">
        <w:rPr>
          <w:rFonts w:cs="Arial"/>
          <w:i/>
          <w:iCs/>
          <w:color w:val="000000"/>
          <w:szCs w:val="22"/>
          <w:shd w:val="clear" w:color="auto" w:fill="FFFFFF"/>
        </w:rPr>
        <w:br/>
        <w:t>(b) the concurrence of the Secretary has been obtained.</w:t>
      </w:r>
      <w:r w:rsidRPr="0041363B">
        <w:rPr>
          <w:rFonts w:cs="Arial"/>
          <w:i/>
          <w:iCs/>
          <w:color w:val="000000"/>
          <w:szCs w:val="22"/>
          <w:shd w:val="clear" w:color="auto" w:fill="FFFFFF"/>
        </w:rPr>
        <w:br/>
      </w:r>
      <w:r w:rsidRPr="0041363B">
        <w:rPr>
          <w:rFonts w:cs="Arial"/>
          <w:color w:val="000000"/>
          <w:szCs w:val="22"/>
          <w:shd w:val="clear" w:color="auto" w:fill="FFFFFF"/>
        </w:rPr>
        <w:br/>
      </w:r>
      <w:r w:rsidRPr="0041363B">
        <w:rPr>
          <w:rFonts w:cs="Arial"/>
          <w:b/>
          <w:bCs/>
          <w:color w:val="000000"/>
          <w:szCs w:val="22"/>
          <w:shd w:val="clear" w:color="auto" w:fill="FFFFFF"/>
        </w:rPr>
        <w:t>Clause 4.6 (4)(a)(i) (Justification) assessment:</w:t>
      </w:r>
      <w:r w:rsidRPr="0041363B">
        <w:rPr>
          <w:rFonts w:cs="Arial"/>
          <w:b/>
          <w:bCs/>
          <w:color w:val="000000"/>
          <w:szCs w:val="22"/>
          <w:shd w:val="clear" w:color="auto" w:fill="FFFFFF"/>
        </w:rPr>
        <w:br/>
      </w:r>
      <w:r w:rsidRPr="0041363B">
        <w:rPr>
          <w:rFonts w:cs="Arial"/>
          <w:color w:val="000000"/>
          <w:szCs w:val="22"/>
          <w:shd w:val="clear" w:color="auto" w:fill="FFFFFF"/>
        </w:rPr>
        <w:br/>
        <w:t>Clause 4.6 (4)(a)(i) requires the consent authority to be satisfied that the applicant’s written request, seeking to justify the contravention of the development standard, has adequately addressed the matters required to be demonstrated by cl 4.6(3). There are two separate matters for consideration contained within cl 4.6(3) and these are addressed as follows</w:t>
      </w:r>
      <w:proofErr w:type="gramStart"/>
      <w:r w:rsidRPr="0041363B">
        <w:rPr>
          <w:rFonts w:cs="Arial"/>
          <w:color w:val="000000"/>
          <w:szCs w:val="22"/>
          <w:shd w:val="clear" w:color="auto" w:fill="FFFFFF"/>
        </w:rPr>
        <w:t>:</w:t>
      </w:r>
      <w:proofErr w:type="gramEnd"/>
      <w:r w:rsidRPr="0041363B">
        <w:rPr>
          <w:rFonts w:cs="Arial"/>
          <w:color w:val="000000"/>
          <w:szCs w:val="22"/>
          <w:shd w:val="clear" w:color="auto" w:fill="FFFFFF"/>
        </w:rPr>
        <w:br/>
      </w:r>
      <w:r w:rsidRPr="0041363B">
        <w:rPr>
          <w:rFonts w:cs="Arial"/>
          <w:color w:val="000000"/>
          <w:szCs w:val="22"/>
          <w:shd w:val="clear" w:color="auto" w:fill="FFFFFF"/>
        </w:rPr>
        <w:br/>
      </w:r>
      <w:r w:rsidRPr="0041363B">
        <w:rPr>
          <w:rFonts w:cs="Arial"/>
          <w:i/>
          <w:iCs/>
          <w:color w:val="000000"/>
          <w:szCs w:val="22"/>
          <w:shd w:val="clear" w:color="auto" w:fill="FFFFFF"/>
        </w:rPr>
        <w:t>(a) that compliance with the development standard is unreasonable or unnecessary in the circumstances of the case, and</w:t>
      </w:r>
      <w:r w:rsidRPr="0041363B">
        <w:rPr>
          <w:rFonts w:cs="Arial"/>
          <w:i/>
          <w:iCs/>
          <w:color w:val="000000"/>
          <w:szCs w:val="22"/>
          <w:shd w:val="clear" w:color="auto" w:fill="FFFFFF"/>
        </w:rPr>
        <w:br/>
      </w:r>
      <w:r w:rsidRPr="0041363B">
        <w:rPr>
          <w:rFonts w:cs="Arial"/>
          <w:color w:val="000000"/>
          <w:szCs w:val="22"/>
          <w:shd w:val="clear" w:color="auto" w:fill="FFFFFF"/>
        </w:rPr>
        <w:br/>
      </w:r>
      <w:r w:rsidRPr="0041363B">
        <w:rPr>
          <w:rFonts w:cs="Arial"/>
          <w:b/>
          <w:color w:val="000000"/>
          <w:szCs w:val="22"/>
          <w:u w:val="single"/>
          <w:shd w:val="clear" w:color="auto" w:fill="FFFFFF"/>
        </w:rPr>
        <w:t>Comment:</w:t>
      </w:r>
      <w:r w:rsidRPr="0041363B">
        <w:rPr>
          <w:rFonts w:cs="Arial"/>
          <w:b/>
          <w:color w:val="000000"/>
          <w:szCs w:val="22"/>
          <w:u w:val="single"/>
          <w:shd w:val="clear" w:color="auto" w:fill="FFFFFF"/>
        </w:rPr>
        <w:br/>
      </w:r>
      <w:r w:rsidRPr="0041363B">
        <w:rPr>
          <w:rFonts w:cs="Arial"/>
          <w:color w:val="000000"/>
          <w:szCs w:val="22"/>
          <w:shd w:val="clear" w:color="auto" w:fill="FFFFFF"/>
        </w:rPr>
        <w:br/>
        <w:t>The Applicant’s written request (attached to this report as an Appendix) has demonstrated that the objectives of the development standard are achieved, notwithstanding the non-compliance with the development standard.</w:t>
      </w:r>
      <w:r w:rsidRPr="0041363B">
        <w:rPr>
          <w:rFonts w:cs="Arial"/>
          <w:color w:val="000000"/>
          <w:szCs w:val="22"/>
          <w:shd w:val="clear" w:color="auto" w:fill="FFFFFF"/>
        </w:rPr>
        <w:br/>
      </w:r>
      <w:r w:rsidRPr="0041363B">
        <w:rPr>
          <w:rFonts w:cs="Arial"/>
          <w:color w:val="000000"/>
          <w:szCs w:val="22"/>
          <w:shd w:val="clear" w:color="auto" w:fill="FFFFFF"/>
        </w:rPr>
        <w:br/>
        <w:t>In doing so, the Applicant’s written request has adequately demonstrated that compliance with the development standard is unreasonable or unnecessary in the circumstances of this case as required by cl 4.6(3)(a).</w:t>
      </w:r>
      <w:r w:rsidRPr="0041363B">
        <w:rPr>
          <w:rFonts w:cs="Arial"/>
          <w:color w:val="000000"/>
          <w:szCs w:val="22"/>
          <w:shd w:val="clear" w:color="auto" w:fill="FFFFFF"/>
        </w:rPr>
        <w:br/>
      </w:r>
      <w:r w:rsidRPr="0041363B">
        <w:rPr>
          <w:rFonts w:cs="Arial"/>
          <w:color w:val="000000"/>
          <w:szCs w:val="22"/>
          <w:shd w:val="clear" w:color="auto" w:fill="FFFFFF"/>
        </w:rPr>
        <w:br/>
      </w:r>
    </w:p>
    <w:p w:rsidR="0041363B" w:rsidRPr="0041363B" w:rsidRDefault="0041363B" w:rsidP="0041363B">
      <w:pPr>
        <w:shd w:val="clear" w:color="auto" w:fill="FFFFFF"/>
        <w:rPr>
          <w:rFonts w:cs="Arial"/>
          <w:b/>
          <w:color w:val="000000"/>
          <w:szCs w:val="22"/>
        </w:rPr>
      </w:pPr>
      <w:r w:rsidRPr="0041363B">
        <w:rPr>
          <w:rFonts w:cs="Arial"/>
          <w:b/>
          <w:i/>
          <w:iCs/>
          <w:color w:val="000000"/>
          <w:szCs w:val="22"/>
        </w:rPr>
        <w:t xml:space="preserve">(b) </w:t>
      </w:r>
      <w:proofErr w:type="gramStart"/>
      <w:r w:rsidRPr="0041363B">
        <w:rPr>
          <w:rFonts w:cs="Arial"/>
          <w:b/>
          <w:i/>
          <w:iCs/>
          <w:color w:val="000000"/>
          <w:szCs w:val="22"/>
        </w:rPr>
        <w:t>that</w:t>
      </w:r>
      <w:proofErr w:type="gramEnd"/>
      <w:r w:rsidRPr="0041363B">
        <w:rPr>
          <w:rFonts w:cs="Arial"/>
          <w:b/>
          <w:i/>
          <w:iCs/>
          <w:color w:val="000000"/>
          <w:szCs w:val="22"/>
        </w:rPr>
        <w:t xml:space="preserve"> there are sufficient environmental planning grounds to justify contravening the development standard.</w:t>
      </w:r>
    </w:p>
    <w:p w:rsidR="0041363B" w:rsidRPr="0041363B" w:rsidRDefault="0041363B" w:rsidP="0041363B">
      <w:pPr>
        <w:rPr>
          <w:rFonts w:cs="Arial"/>
          <w:szCs w:val="22"/>
        </w:rPr>
      </w:pPr>
      <w:r w:rsidRPr="0041363B">
        <w:rPr>
          <w:rFonts w:cs="Arial"/>
          <w:b/>
          <w:color w:val="000000"/>
          <w:szCs w:val="22"/>
        </w:rPr>
        <w:br/>
      </w:r>
      <w:r w:rsidRPr="0041363B">
        <w:rPr>
          <w:rFonts w:cs="Arial"/>
          <w:b/>
          <w:color w:val="000000"/>
          <w:szCs w:val="22"/>
          <w:u w:val="single"/>
          <w:shd w:val="clear" w:color="auto" w:fill="FFFFFF"/>
        </w:rPr>
        <w:t>Comment:</w:t>
      </w:r>
      <w:r w:rsidRPr="0041363B">
        <w:rPr>
          <w:rFonts w:cs="Arial"/>
          <w:b/>
          <w:color w:val="000000"/>
          <w:szCs w:val="22"/>
          <w:u w:val="single"/>
          <w:shd w:val="clear" w:color="auto" w:fill="FFFFFF"/>
        </w:rPr>
        <w:br/>
      </w:r>
      <w:r w:rsidRPr="0041363B">
        <w:rPr>
          <w:rFonts w:cs="Arial"/>
          <w:color w:val="000000"/>
          <w:szCs w:val="22"/>
        </w:rPr>
        <w:br/>
      </w:r>
      <w:r w:rsidRPr="0041363B">
        <w:rPr>
          <w:rFonts w:cs="Arial"/>
          <w:color w:val="000000"/>
          <w:szCs w:val="22"/>
          <w:shd w:val="clear" w:color="auto" w:fill="FFFFFF"/>
        </w:rPr>
        <w:t xml:space="preserve">In the matter of </w:t>
      </w:r>
      <w:r w:rsidRPr="0041363B">
        <w:rPr>
          <w:rFonts w:cs="Arial"/>
          <w:i/>
          <w:color w:val="000000"/>
          <w:szCs w:val="22"/>
          <w:shd w:val="clear" w:color="auto" w:fill="FFFFFF"/>
        </w:rPr>
        <w:t xml:space="preserve">Initial Action Pty Ltd v Woollahra Municipal Council [2018] NSWLEC 118, </w:t>
      </w:r>
      <w:r w:rsidRPr="0041363B">
        <w:rPr>
          <w:rFonts w:cs="Arial"/>
          <w:color w:val="000000"/>
          <w:szCs w:val="22"/>
          <w:shd w:val="clear" w:color="auto" w:fill="FFFFFF"/>
        </w:rPr>
        <w:t>Preston CJ provides the following guidance (para 23) to inform the consent authority’s finding that the applicant’s written request has adequately demonstrated that that there are sufficient environmental planning grounds to justify contravening the development standard:</w:t>
      </w:r>
      <w:r w:rsidRPr="0041363B">
        <w:rPr>
          <w:rFonts w:cs="Arial"/>
          <w:color w:val="000000"/>
          <w:szCs w:val="22"/>
        </w:rPr>
        <w:br/>
      </w:r>
      <w:r w:rsidRPr="0041363B">
        <w:rPr>
          <w:rFonts w:cs="Arial"/>
          <w:color w:val="000000"/>
          <w:szCs w:val="22"/>
        </w:rPr>
        <w:br/>
      </w:r>
      <w:r w:rsidRPr="0041363B">
        <w:rPr>
          <w:rFonts w:cs="Arial"/>
          <w:i/>
          <w:iCs/>
          <w:color w:val="000000"/>
          <w:szCs w:val="22"/>
          <w:shd w:val="clear" w:color="auto" w:fill="FFFFFF"/>
        </w:rPr>
        <w:t>‘As to the second matter required by cl 4.6(3)(b), the grounds relied on by the applicant in the written request under cl 4.6 must be “environmental planning grounds” by their nature: see Four2Five Pty Ltd v Ashfield Council [2015] NSWLEC 90 at [26]. The adjectival phrase “environmental planning” is not defined, but would refer to grounds that relate to the subject matter, scope and purpose of the EPA Act, including the objects in s 1.3 of the EPA Act.’</w:t>
      </w:r>
      <w:r w:rsidRPr="0041363B">
        <w:rPr>
          <w:rFonts w:cs="Arial"/>
          <w:i/>
          <w:iCs/>
          <w:color w:val="000000"/>
          <w:szCs w:val="22"/>
          <w:shd w:val="clear" w:color="auto" w:fill="FFFFFF"/>
        </w:rPr>
        <w:br/>
      </w:r>
      <w:r w:rsidRPr="0041363B">
        <w:rPr>
          <w:rFonts w:cs="Arial"/>
          <w:i/>
          <w:iCs/>
          <w:color w:val="000000"/>
          <w:szCs w:val="22"/>
          <w:shd w:val="clear" w:color="auto" w:fill="FFFFFF"/>
        </w:rPr>
        <w:br/>
      </w:r>
      <w:r w:rsidRPr="0041363B">
        <w:rPr>
          <w:rFonts w:cs="Arial"/>
          <w:b/>
          <w:color w:val="000000"/>
          <w:szCs w:val="22"/>
          <w:shd w:val="clear" w:color="auto" w:fill="FFFFFF"/>
        </w:rPr>
        <w:t>s 1.3 of the EPA Act reads as follows:</w:t>
      </w:r>
      <w:r w:rsidRPr="0041363B">
        <w:rPr>
          <w:rFonts w:cs="Arial"/>
          <w:b/>
          <w:color w:val="000000"/>
          <w:szCs w:val="22"/>
        </w:rPr>
        <w:br/>
      </w:r>
      <w:r w:rsidRPr="0041363B">
        <w:rPr>
          <w:rFonts w:cs="Arial"/>
          <w:color w:val="000000"/>
          <w:szCs w:val="22"/>
        </w:rPr>
        <w:br/>
      </w:r>
      <w:r w:rsidRPr="0041363B">
        <w:rPr>
          <w:rFonts w:cs="Arial"/>
          <w:i/>
          <w:iCs/>
          <w:color w:val="000000"/>
          <w:szCs w:val="22"/>
          <w:shd w:val="clear" w:color="auto" w:fill="FFFFFF"/>
        </w:rPr>
        <w:t>1.3 Objects of Act(</w:t>
      </w:r>
      <w:proofErr w:type="spellStart"/>
      <w:r w:rsidRPr="0041363B">
        <w:rPr>
          <w:rFonts w:cs="Arial"/>
          <w:i/>
          <w:iCs/>
          <w:color w:val="000000"/>
          <w:szCs w:val="22"/>
          <w:shd w:val="clear" w:color="auto" w:fill="FFFFFF"/>
        </w:rPr>
        <w:t>cf</w:t>
      </w:r>
      <w:proofErr w:type="spellEnd"/>
      <w:r w:rsidRPr="0041363B">
        <w:rPr>
          <w:rFonts w:cs="Arial"/>
          <w:i/>
          <w:iCs/>
          <w:color w:val="000000"/>
          <w:szCs w:val="22"/>
          <w:shd w:val="clear" w:color="auto" w:fill="FFFFFF"/>
        </w:rPr>
        <w:t xml:space="preserve"> previous s 5)</w:t>
      </w:r>
      <w:r w:rsidR="001C418B">
        <w:rPr>
          <w:rFonts w:cs="Arial"/>
          <w:i/>
          <w:iCs/>
          <w:color w:val="000000"/>
          <w:szCs w:val="22"/>
          <w:shd w:val="clear" w:color="auto" w:fill="FFFFFF"/>
        </w:rPr>
        <w:br/>
      </w:r>
      <w:r w:rsidRPr="0041363B">
        <w:rPr>
          <w:rFonts w:cs="Arial"/>
          <w:i/>
          <w:iCs/>
          <w:color w:val="000000"/>
          <w:szCs w:val="22"/>
          <w:shd w:val="clear" w:color="auto" w:fill="FFFFFF"/>
        </w:rPr>
        <w:br/>
        <w:t>The objects of this Act are as follows:</w:t>
      </w:r>
      <w:r w:rsidRPr="0041363B">
        <w:rPr>
          <w:rFonts w:cs="Arial"/>
          <w:i/>
          <w:iCs/>
          <w:color w:val="000000"/>
          <w:szCs w:val="22"/>
          <w:shd w:val="clear" w:color="auto" w:fill="FFFFFF"/>
        </w:rPr>
        <w:br/>
        <w:t>(a) to promote the social and economic welfare of the community and a better environment by the proper management, development and conservation of the State’s natural and other resources,</w:t>
      </w:r>
      <w:r w:rsidRPr="0041363B">
        <w:rPr>
          <w:rFonts w:cs="Arial"/>
          <w:i/>
          <w:iCs/>
          <w:color w:val="000000"/>
          <w:szCs w:val="22"/>
          <w:shd w:val="clear" w:color="auto" w:fill="FFFFFF"/>
        </w:rPr>
        <w:br/>
        <w:t xml:space="preserve">(b) to facilitate ecologically sustainable development by integrating relevant economic, environmental and social considerations in decision-making about environmental </w:t>
      </w:r>
      <w:r w:rsidRPr="0041363B">
        <w:rPr>
          <w:rFonts w:cs="Arial"/>
          <w:i/>
          <w:iCs/>
          <w:color w:val="000000"/>
          <w:szCs w:val="22"/>
          <w:shd w:val="clear" w:color="auto" w:fill="FFFFFF"/>
        </w:rPr>
        <w:lastRenderedPageBreak/>
        <w:t>planning and assessment,</w:t>
      </w:r>
      <w:r w:rsidRPr="0041363B">
        <w:rPr>
          <w:rFonts w:cs="Arial"/>
          <w:i/>
          <w:iCs/>
          <w:color w:val="000000"/>
          <w:szCs w:val="22"/>
          <w:shd w:val="clear" w:color="auto" w:fill="FFFFFF"/>
        </w:rPr>
        <w:br/>
        <w:t>(c) to promote the orderly and economic use and development of land,</w:t>
      </w:r>
      <w:r w:rsidRPr="0041363B">
        <w:rPr>
          <w:rFonts w:cs="Arial"/>
          <w:i/>
          <w:iCs/>
          <w:color w:val="000000"/>
          <w:szCs w:val="22"/>
          <w:shd w:val="clear" w:color="auto" w:fill="FFFFFF"/>
        </w:rPr>
        <w:br/>
        <w:t>(d) to promote the delivery and maintenance of affordable housing,</w:t>
      </w:r>
      <w:r w:rsidRPr="0041363B">
        <w:rPr>
          <w:rFonts w:cs="Arial"/>
          <w:i/>
          <w:iCs/>
          <w:color w:val="000000"/>
          <w:szCs w:val="22"/>
          <w:shd w:val="clear" w:color="auto" w:fill="FFFFFF"/>
        </w:rPr>
        <w:br/>
        <w:t>(e) to protect the environment, including the conservation of threatened and other species of native animals and plants, ecological communities and their habitats,</w:t>
      </w:r>
      <w:r w:rsidRPr="0041363B">
        <w:rPr>
          <w:rFonts w:cs="Arial"/>
          <w:i/>
          <w:iCs/>
          <w:color w:val="000000"/>
          <w:szCs w:val="22"/>
          <w:shd w:val="clear" w:color="auto" w:fill="FFFFFF"/>
        </w:rPr>
        <w:br/>
        <w:t>(f) to promote the sustainable management of built and cultural heritage (including Aboriginal cultural heritage),</w:t>
      </w:r>
      <w:r w:rsidRPr="0041363B">
        <w:rPr>
          <w:rFonts w:cs="Arial"/>
          <w:i/>
          <w:iCs/>
          <w:color w:val="000000"/>
          <w:szCs w:val="22"/>
          <w:shd w:val="clear" w:color="auto" w:fill="FFFFFF"/>
        </w:rPr>
        <w:br/>
        <w:t>(g) to promote good design and amenity of the built environment,</w:t>
      </w:r>
      <w:r w:rsidRPr="0041363B">
        <w:rPr>
          <w:rFonts w:cs="Arial"/>
          <w:i/>
          <w:iCs/>
          <w:color w:val="000000"/>
          <w:szCs w:val="22"/>
          <w:shd w:val="clear" w:color="auto" w:fill="FFFFFF"/>
        </w:rPr>
        <w:br/>
        <w:t>(h) to promote the proper construction and maintenance of buildings, including the protection of the health and safety of their occupants,</w:t>
      </w:r>
      <w:r w:rsidRPr="0041363B">
        <w:rPr>
          <w:rFonts w:cs="Arial"/>
          <w:i/>
          <w:iCs/>
          <w:color w:val="000000"/>
          <w:szCs w:val="22"/>
          <w:shd w:val="clear" w:color="auto" w:fill="FFFFFF"/>
        </w:rPr>
        <w:br/>
        <w:t>(i) to promote the sharing of the responsibility for environmental planning and assessment between the different levels of government in the State,</w:t>
      </w:r>
      <w:r w:rsidRPr="0041363B">
        <w:rPr>
          <w:rFonts w:cs="Arial"/>
          <w:i/>
          <w:iCs/>
          <w:color w:val="000000"/>
          <w:szCs w:val="22"/>
          <w:shd w:val="clear" w:color="auto" w:fill="FFFFFF"/>
        </w:rPr>
        <w:br/>
        <w:t>(j) to provide increased opportunity for community participation in environmental planning and assessment.</w:t>
      </w:r>
      <w:r w:rsidRPr="0041363B">
        <w:rPr>
          <w:rFonts w:cs="Arial"/>
          <w:i/>
          <w:iCs/>
          <w:color w:val="000000"/>
          <w:szCs w:val="22"/>
          <w:shd w:val="clear" w:color="auto" w:fill="FFFFFF"/>
        </w:rPr>
        <w:br/>
      </w:r>
      <w:r w:rsidRPr="0041363B">
        <w:rPr>
          <w:rFonts w:cs="Arial"/>
          <w:color w:val="000000"/>
          <w:szCs w:val="22"/>
        </w:rPr>
        <w:br/>
      </w:r>
      <w:r w:rsidRPr="0041363B">
        <w:rPr>
          <w:rFonts w:cs="Arial"/>
          <w:color w:val="000000"/>
          <w:szCs w:val="22"/>
          <w:shd w:val="clear" w:color="auto" w:fill="FFFFFF"/>
        </w:rPr>
        <w:t>The applicant</w:t>
      </w:r>
      <w:r w:rsidR="001C418B">
        <w:rPr>
          <w:rFonts w:cs="Arial"/>
          <w:color w:val="000000"/>
          <w:szCs w:val="22"/>
          <w:shd w:val="clear" w:color="auto" w:fill="FFFFFF"/>
        </w:rPr>
        <w:t>’</w:t>
      </w:r>
      <w:r w:rsidRPr="0041363B">
        <w:rPr>
          <w:rFonts w:cs="Arial"/>
          <w:color w:val="000000"/>
          <w:szCs w:val="22"/>
          <w:shd w:val="clear" w:color="auto" w:fill="FFFFFF"/>
        </w:rPr>
        <w:t>s written request argues, in part:</w:t>
      </w:r>
      <w:r w:rsidRPr="0041363B">
        <w:rPr>
          <w:rFonts w:cs="Arial"/>
          <w:color w:val="000000"/>
          <w:szCs w:val="22"/>
        </w:rPr>
        <w:br/>
      </w:r>
    </w:p>
    <w:p w:rsidR="0041363B" w:rsidRPr="0041363B" w:rsidRDefault="006923AE" w:rsidP="0041363B">
      <w:pPr>
        <w:numPr>
          <w:ilvl w:val="0"/>
          <w:numId w:val="46"/>
        </w:numPr>
        <w:shd w:val="clear" w:color="auto" w:fill="FFFFFF"/>
        <w:ind w:left="456"/>
        <w:rPr>
          <w:rFonts w:cs="Arial"/>
          <w:color w:val="000000"/>
          <w:szCs w:val="22"/>
        </w:rPr>
      </w:pPr>
      <w:r>
        <w:rPr>
          <w:rFonts w:cs="Arial"/>
          <w:i/>
          <w:iCs/>
          <w:color w:val="000000"/>
          <w:szCs w:val="22"/>
        </w:rPr>
        <w:t>“</w:t>
      </w:r>
      <w:r w:rsidR="0041363B" w:rsidRPr="0041363B">
        <w:rPr>
          <w:rFonts w:cs="Arial"/>
          <w:i/>
          <w:iCs/>
          <w:color w:val="000000"/>
          <w:szCs w:val="22"/>
        </w:rPr>
        <w:t xml:space="preserve">Section 4.1.3.1 of the Manly DCP 2013, there are exceptions that states an extent of FSR Variation for Undersized Lot which the calculation of FSR for the subject site within the subzone “U” on the LEP LSZ map is based on 750m2 lot size and consequently allows for </w:t>
      </w:r>
      <w:proofErr w:type="spellStart"/>
      <w:r w:rsidR="0041363B" w:rsidRPr="0041363B">
        <w:rPr>
          <w:rFonts w:cs="Arial"/>
          <w:i/>
          <w:iCs/>
          <w:color w:val="000000"/>
          <w:szCs w:val="22"/>
        </w:rPr>
        <w:t>amaximum</w:t>
      </w:r>
      <w:proofErr w:type="spellEnd"/>
      <w:r w:rsidR="0041363B" w:rsidRPr="0041363B">
        <w:rPr>
          <w:rFonts w:cs="Arial"/>
          <w:i/>
          <w:iCs/>
          <w:color w:val="000000"/>
          <w:szCs w:val="22"/>
        </w:rPr>
        <w:t xml:space="preserve"> GFA of 300sqm which the proposal has been amended to comply with by increased side setbacks and reducing the mass of the building.</w:t>
      </w:r>
      <w:r w:rsidR="0041363B" w:rsidRPr="0041363B">
        <w:rPr>
          <w:rFonts w:cs="Arial"/>
          <w:i/>
          <w:iCs/>
          <w:color w:val="000000"/>
          <w:szCs w:val="22"/>
        </w:rPr>
        <w:br/>
        <w:t>The proposed FSR is compatible with the site and context of the locality whilst the proposed built form is considered to be reasonable when compared with substantially larger homes, including those opposite the subject site.</w:t>
      </w:r>
    </w:p>
    <w:p w:rsidR="0041363B" w:rsidRPr="0041363B" w:rsidRDefault="0041363B" w:rsidP="0041363B">
      <w:pPr>
        <w:numPr>
          <w:ilvl w:val="0"/>
          <w:numId w:val="46"/>
        </w:numPr>
        <w:shd w:val="clear" w:color="auto" w:fill="FFFFFF"/>
        <w:ind w:left="456"/>
        <w:rPr>
          <w:rFonts w:cs="Arial"/>
          <w:color w:val="000000"/>
          <w:szCs w:val="22"/>
        </w:rPr>
      </w:pPr>
      <w:r w:rsidRPr="0041363B">
        <w:rPr>
          <w:rFonts w:cs="Arial"/>
          <w:i/>
          <w:iCs/>
          <w:color w:val="000000"/>
          <w:szCs w:val="22"/>
        </w:rPr>
        <w:t>Council has endorsed similar FSR under the same planning regime .such as at 47 Castle Circuit, within the same subzone identified as “U” on the LEP LSZ map, and similar site constraints.</w:t>
      </w:r>
    </w:p>
    <w:p w:rsidR="0041363B" w:rsidRPr="0041363B" w:rsidRDefault="0041363B" w:rsidP="0041363B">
      <w:pPr>
        <w:numPr>
          <w:ilvl w:val="0"/>
          <w:numId w:val="46"/>
        </w:numPr>
        <w:shd w:val="clear" w:color="auto" w:fill="FFFFFF"/>
        <w:ind w:left="456"/>
        <w:rPr>
          <w:rFonts w:cs="Arial"/>
          <w:color w:val="000000"/>
          <w:szCs w:val="22"/>
        </w:rPr>
      </w:pPr>
      <w:r w:rsidRPr="0041363B">
        <w:rPr>
          <w:rFonts w:cs="Arial"/>
          <w:i/>
          <w:iCs/>
          <w:color w:val="000000"/>
          <w:szCs w:val="22"/>
        </w:rPr>
        <w:t>The additional FSR does not create a building that dominates the site or the foreshore area with the wide public reserve to the west (foreshore reserve) and east (road reserve) and deep soils zones are kept around the lower slopes of the building.</w:t>
      </w:r>
    </w:p>
    <w:p w:rsidR="0041363B" w:rsidRPr="0041363B" w:rsidRDefault="0041363B" w:rsidP="0041363B">
      <w:pPr>
        <w:numPr>
          <w:ilvl w:val="0"/>
          <w:numId w:val="46"/>
        </w:numPr>
        <w:shd w:val="clear" w:color="auto" w:fill="FFFFFF"/>
        <w:ind w:left="456"/>
        <w:rPr>
          <w:rFonts w:cs="Arial"/>
          <w:color w:val="000000"/>
          <w:szCs w:val="22"/>
        </w:rPr>
      </w:pPr>
      <w:r w:rsidRPr="0041363B">
        <w:rPr>
          <w:rFonts w:cs="Arial"/>
          <w:i/>
          <w:iCs/>
          <w:color w:val="000000"/>
          <w:szCs w:val="22"/>
        </w:rPr>
        <w:t xml:space="preserve">In this regard, the applicant’s written request has demonstrated that the proposed development is an orderly and economic use and development of the land, and that the structure is of a good design that will reasonably protect and improve the amenity of the surrounding built environment, therefore satisfying </w:t>
      </w:r>
      <w:proofErr w:type="spellStart"/>
      <w:r w:rsidRPr="0041363B">
        <w:rPr>
          <w:rFonts w:cs="Arial"/>
          <w:i/>
          <w:iCs/>
          <w:color w:val="000000"/>
          <w:szCs w:val="22"/>
        </w:rPr>
        <w:t>cls</w:t>
      </w:r>
      <w:proofErr w:type="spellEnd"/>
      <w:r w:rsidRPr="0041363B">
        <w:rPr>
          <w:rFonts w:cs="Arial"/>
          <w:i/>
          <w:iCs/>
          <w:color w:val="000000"/>
          <w:szCs w:val="22"/>
        </w:rPr>
        <w:t xml:space="preserve"> 1.3 (c) and (g) of the EPA Act.</w:t>
      </w:r>
    </w:p>
    <w:p w:rsidR="0041363B" w:rsidRPr="0041363B" w:rsidRDefault="0041363B" w:rsidP="0041363B">
      <w:pPr>
        <w:numPr>
          <w:ilvl w:val="0"/>
          <w:numId w:val="46"/>
        </w:numPr>
        <w:shd w:val="clear" w:color="auto" w:fill="FFFFFF"/>
        <w:ind w:left="456"/>
        <w:rPr>
          <w:rFonts w:cs="Arial"/>
          <w:color w:val="000000"/>
          <w:szCs w:val="22"/>
        </w:rPr>
      </w:pPr>
      <w:r w:rsidRPr="0041363B">
        <w:rPr>
          <w:rFonts w:cs="Arial"/>
          <w:i/>
          <w:iCs/>
          <w:color w:val="000000"/>
          <w:szCs w:val="22"/>
        </w:rPr>
        <w:t>The proposed FSR variation is not considered to be responsible for any unreasonable bulk or scale impacts.</w:t>
      </w:r>
    </w:p>
    <w:p w:rsidR="0041363B" w:rsidRPr="0041363B" w:rsidRDefault="0041363B" w:rsidP="0041363B">
      <w:pPr>
        <w:numPr>
          <w:ilvl w:val="0"/>
          <w:numId w:val="46"/>
        </w:numPr>
        <w:shd w:val="clear" w:color="auto" w:fill="FFFFFF"/>
        <w:ind w:left="456"/>
        <w:rPr>
          <w:rFonts w:cs="Arial"/>
          <w:color w:val="000000"/>
          <w:szCs w:val="22"/>
        </w:rPr>
      </w:pPr>
      <w:r w:rsidRPr="0041363B">
        <w:rPr>
          <w:rFonts w:cs="Arial"/>
          <w:i/>
          <w:iCs/>
          <w:color w:val="000000"/>
          <w:szCs w:val="22"/>
        </w:rPr>
        <w:t>The FSR deviation is well integrated into the high-quality, articulated design of the proposal and ensures that the built form will contribute positively to the locality</w:t>
      </w:r>
    </w:p>
    <w:p w:rsidR="0041363B" w:rsidRPr="0041363B" w:rsidRDefault="0041363B" w:rsidP="0041363B">
      <w:pPr>
        <w:numPr>
          <w:ilvl w:val="0"/>
          <w:numId w:val="46"/>
        </w:numPr>
        <w:shd w:val="clear" w:color="auto" w:fill="FFFFFF"/>
        <w:ind w:left="456"/>
        <w:rPr>
          <w:rFonts w:cs="Arial"/>
          <w:color w:val="000000"/>
          <w:szCs w:val="22"/>
        </w:rPr>
      </w:pPr>
      <w:r w:rsidRPr="0041363B">
        <w:rPr>
          <w:rFonts w:cs="Arial"/>
          <w:i/>
          <w:iCs/>
          <w:color w:val="000000"/>
          <w:szCs w:val="22"/>
        </w:rPr>
        <w:t>The FSR is associated with an architectural solution that is cohesive and responsive to the substantial gradient of the site whilst being consistent with surrounding properties and correspondent to the corner nature of the site. </w:t>
      </w:r>
    </w:p>
    <w:p w:rsidR="0041363B" w:rsidRPr="0041363B" w:rsidRDefault="0041363B" w:rsidP="0041363B">
      <w:pPr>
        <w:numPr>
          <w:ilvl w:val="0"/>
          <w:numId w:val="46"/>
        </w:numPr>
        <w:shd w:val="clear" w:color="auto" w:fill="FFFFFF"/>
        <w:ind w:left="456"/>
        <w:rPr>
          <w:rFonts w:cs="Arial"/>
          <w:color w:val="000000"/>
          <w:szCs w:val="22"/>
        </w:rPr>
      </w:pPr>
      <w:r w:rsidRPr="0041363B">
        <w:rPr>
          <w:rFonts w:cs="Arial"/>
          <w:i/>
          <w:iCs/>
          <w:color w:val="000000"/>
          <w:szCs w:val="22"/>
        </w:rPr>
        <w:t>The proposed FSR variation is not responsible for any unreasonable adverse impacts to surrounding properties in regard to overshadowing, privacy and view loss.</w:t>
      </w:r>
    </w:p>
    <w:p w:rsidR="0041363B" w:rsidRPr="0041363B" w:rsidRDefault="0041363B" w:rsidP="0041363B">
      <w:pPr>
        <w:numPr>
          <w:ilvl w:val="0"/>
          <w:numId w:val="46"/>
        </w:numPr>
        <w:shd w:val="clear" w:color="auto" w:fill="FFFFFF"/>
        <w:ind w:left="456"/>
        <w:rPr>
          <w:rFonts w:cs="Arial"/>
          <w:color w:val="000000"/>
          <w:szCs w:val="22"/>
        </w:rPr>
      </w:pPr>
      <w:proofErr w:type="gramStart"/>
      <w:r w:rsidRPr="0041363B">
        <w:rPr>
          <w:rFonts w:cs="Arial"/>
          <w:i/>
          <w:iCs/>
          <w:color w:val="000000"/>
          <w:szCs w:val="22"/>
        </w:rPr>
        <w:t>the</w:t>
      </w:r>
      <w:proofErr w:type="gramEnd"/>
      <w:r w:rsidRPr="0041363B">
        <w:rPr>
          <w:rFonts w:cs="Arial"/>
          <w:i/>
          <w:iCs/>
          <w:color w:val="000000"/>
          <w:szCs w:val="22"/>
        </w:rPr>
        <w:t xml:space="preserve"> proposal has reduced the gross floor area since the Pre-DA stage, particularly on the upper storey whilst also reducing the open terraces and </w:t>
      </w:r>
      <w:proofErr w:type="spellStart"/>
      <w:r w:rsidRPr="0041363B">
        <w:rPr>
          <w:rFonts w:cs="Arial"/>
          <w:i/>
          <w:iCs/>
          <w:color w:val="000000"/>
          <w:szCs w:val="22"/>
        </w:rPr>
        <w:t>non trafficable</w:t>
      </w:r>
      <w:proofErr w:type="spellEnd"/>
      <w:r w:rsidRPr="0041363B">
        <w:rPr>
          <w:rFonts w:cs="Arial"/>
          <w:i/>
          <w:iCs/>
          <w:color w:val="000000"/>
          <w:szCs w:val="22"/>
        </w:rPr>
        <w:t xml:space="preserve"> roofs in all levels.</w:t>
      </w:r>
      <w:r w:rsidR="006923AE">
        <w:rPr>
          <w:rFonts w:cs="Arial"/>
          <w:i/>
          <w:iCs/>
          <w:color w:val="000000"/>
          <w:szCs w:val="22"/>
        </w:rPr>
        <w:t>”</w:t>
      </w:r>
    </w:p>
    <w:p w:rsidR="0041363B" w:rsidRPr="0041363B" w:rsidRDefault="0041363B" w:rsidP="0041363B">
      <w:pPr>
        <w:rPr>
          <w:rFonts w:cs="Arial"/>
          <w:szCs w:val="22"/>
        </w:rPr>
      </w:pPr>
      <w:r w:rsidRPr="0041363B">
        <w:rPr>
          <w:rFonts w:cs="Arial"/>
          <w:color w:val="000000"/>
          <w:szCs w:val="22"/>
        </w:rPr>
        <w:br/>
      </w:r>
      <w:r w:rsidRPr="0041363B">
        <w:rPr>
          <w:rFonts w:cs="Arial"/>
          <w:color w:val="000000"/>
          <w:szCs w:val="22"/>
          <w:shd w:val="clear" w:color="auto" w:fill="FFFFFF"/>
        </w:rPr>
        <w:t xml:space="preserve">Therefore, the applicant's written request has adequately demonstrated that there are sufficient environmental planning grounds to justify contravening the development </w:t>
      </w:r>
      <w:r w:rsidRPr="0041363B">
        <w:rPr>
          <w:rFonts w:cs="Arial"/>
          <w:color w:val="000000"/>
          <w:szCs w:val="22"/>
          <w:shd w:val="clear" w:color="auto" w:fill="FFFFFF"/>
        </w:rPr>
        <w:lastRenderedPageBreak/>
        <w:t>standard as required by cl 4.6 (3)(b).</w:t>
      </w:r>
      <w:r w:rsidRPr="0041363B">
        <w:rPr>
          <w:rFonts w:cs="Arial"/>
          <w:color w:val="000000"/>
          <w:szCs w:val="22"/>
        </w:rPr>
        <w:br/>
      </w:r>
      <w:r w:rsidRPr="0041363B">
        <w:rPr>
          <w:rFonts w:cs="Arial"/>
          <w:color w:val="000000"/>
          <w:szCs w:val="22"/>
        </w:rPr>
        <w:br/>
      </w:r>
      <w:r w:rsidRPr="0041363B">
        <w:rPr>
          <w:rFonts w:cs="Arial"/>
          <w:b/>
          <w:color w:val="000000"/>
          <w:szCs w:val="22"/>
          <w:u w:val="single"/>
          <w:shd w:val="clear" w:color="auto" w:fill="FFFFFF"/>
        </w:rPr>
        <w:t>Consideration and comment:</w:t>
      </w:r>
      <w:r w:rsidRPr="0041363B">
        <w:rPr>
          <w:rFonts w:cs="Arial"/>
          <w:b/>
          <w:color w:val="000000"/>
          <w:szCs w:val="22"/>
        </w:rPr>
        <w:br/>
      </w:r>
    </w:p>
    <w:p w:rsidR="0041363B" w:rsidRPr="0041363B" w:rsidRDefault="0041363B" w:rsidP="0041363B">
      <w:pPr>
        <w:numPr>
          <w:ilvl w:val="0"/>
          <w:numId w:val="47"/>
        </w:numPr>
        <w:shd w:val="clear" w:color="auto" w:fill="FFFFFF"/>
        <w:ind w:left="456"/>
        <w:rPr>
          <w:rFonts w:cs="Arial"/>
          <w:color w:val="000000"/>
          <w:szCs w:val="22"/>
        </w:rPr>
      </w:pPr>
      <w:r w:rsidRPr="0041363B">
        <w:rPr>
          <w:rFonts w:cs="Arial"/>
          <w:color w:val="000000"/>
          <w:szCs w:val="22"/>
        </w:rPr>
        <w:t>The proposal have been amended in response to submission issues and further detailed assessment considerations made with regard to the Manly DCP and LEP. The subject land is a corner site with a moderately steep slope (including existing excavation) that influence the design response such as floor levels, side and front setbacks, building footprint and future amenity considerations.</w:t>
      </w:r>
    </w:p>
    <w:p w:rsidR="0041363B" w:rsidRPr="0041363B" w:rsidRDefault="0041363B" w:rsidP="0041363B">
      <w:pPr>
        <w:numPr>
          <w:ilvl w:val="0"/>
          <w:numId w:val="47"/>
        </w:numPr>
        <w:shd w:val="clear" w:color="auto" w:fill="FFFFFF"/>
        <w:ind w:left="456"/>
        <w:rPr>
          <w:rFonts w:cs="Arial"/>
          <w:color w:val="000000"/>
          <w:szCs w:val="22"/>
        </w:rPr>
      </w:pPr>
      <w:r w:rsidRPr="0041363B">
        <w:rPr>
          <w:rFonts w:cs="Arial"/>
          <w:color w:val="000000"/>
          <w:szCs w:val="22"/>
        </w:rPr>
        <w:t>Pursuant to Clause 4.1.3.1 of the DCP the proposal complies with the FSR numerical exception allowed for area “U” based on a 750sqm lot size category being 0:4:1 ratio that allows 300sqm floor area. </w:t>
      </w:r>
    </w:p>
    <w:p w:rsidR="0041363B" w:rsidRPr="0041363B" w:rsidRDefault="0041363B" w:rsidP="0041363B">
      <w:pPr>
        <w:numPr>
          <w:ilvl w:val="0"/>
          <w:numId w:val="47"/>
        </w:numPr>
        <w:shd w:val="clear" w:color="auto" w:fill="FFFFFF"/>
        <w:ind w:left="456"/>
        <w:rPr>
          <w:rFonts w:cs="Arial"/>
          <w:color w:val="000000"/>
          <w:szCs w:val="22"/>
        </w:rPr>
      </w:pPr>
      <w:r w:rsidRPr="0041363B">
        <w:rPr>
          <w:rFonts w:cs="Arial"/>
          <w:color w:val="000000"/>
          <w:szCs w:val="22"/>
        </w:rPr>
        <w:t>The proposed FSR variation to the LEP standard is considered to be inconsequential under the development control plan standard compliance and is also justified on the basis that a significant proportion of the building is excavated into the hillside whilst the stepped form of the dwelling is compatible with the nature of the surrounding properties.</w:t>
      </w:r>
    </w:p>
    <w:p w:rsidR="0041363B" w:rsidRPr="0041363B" w:rsidRDefault="0041363B" w:rsidP="0041363B">
      <w:pPr>
        <w:numPr>
          <w:ilvl w:val="0"/>
          <w:numId w:val="47"/>
        </w:numPr>
        <w:shd w:val="clear" w:color="auto" w:fill="FFFFFF"/>
        <w:ind w:left="456"/>
        <w:rPr>
          <w:rFonts w:cs="Arial"/>
          <w:color w:val="000000"/>
          <w:szCs w:val="22"/>
        </w:rPr>
      </w:pPr>
      <w:r w:rsidRPr="0041363B">
        <w:rPr>
          <w:rFonts w:cs="Arial"/>
          <w:color w:val="000000"/>
          <w:szCs w:val="22"/>
        </w:rPr>
        <w:t>The revised design has reduced the FSR by increasing setbacks particularly to the southern boundary, which allows for extending the ground level open space, spatial separation, less bulk, improved privacy and solar access and also increasing the deep soil area.</w:t>
      </w:r>
    </w:p>
    <w:p w:rsidR="0041363B" w:rsidRPr="0041363B" w:rsidRDefault="0041363B" w:rsidP="0041363B">
      <w:pPr>
        <w:numPr>
          <w:ilvl w:val="0"/>
          <w:numId w:val="47"/>
        </w:numPr>
        <w:shd w:val="clear" w:color="auto" w:fill="FFFFFF"/>
        <w:ind w:left="456"/>
        <w:rPr>
          <w:rFonts w:cs="Arial"/>
          <w:color w:val="000000"/>
          <w:szCs w:val="22"/>
        </w:rPr>
      </w:pPr>
      <w:r w:rsidRPr="0041363B">
        <w:rPr>
          <w:rFonts w:cs="Arial"/>
          <w:color w:val="000000"/>
          <w:szCs w:val="22"/>
        </w:rPr>
        <w:t>The non-compliance to the FSR will not result in the loss of views or outlook from any surrounding public or private place due to the steep topography and westerly aspect adjacent a bushland reserve.</w:t>
      </w:r>
    </w:p>
    <w:p w:rsidR="0041363B" w:rsidRPr="0041363B" w:rsidRDefault="0041363B" w:rsidP="0041363B">
      <w:pPr>
        <w:numPr>
          <w:ilvl w:val="0"/>
          <w:numId w:val="47"/>
        </w:numPr>
        <w:shd w:val="clear" w:color="auto" w:fill="FFFFFF"/>
        <w:ind w:left="456"/>
        <w:rPr>
          <w:rFonts w:cs="Arial"/>
          <w:color w:val="000000"/>
          <w:szCs w:val="22"/>
        </w:rPr>
      </w:pPr>
      <w:r w:rsidRPr="0041363B">
        <w:rPr>
          <w:rFonts w:cs="Arial"/>
          <w:color w:val="000000"/>
          <w:szCs w:val="22"/>
        </w:rPr>
        <w:t>The non-compliance with the FSR does not have a material impact on tree clearing or bushfire protection due to the Flame Zone category of the site or landscape amenity of the Sydney Harbour Foreshore area.</w:t>
      </w:r>
    </w:p>
    <w:p w:rsidR="006923AE" w:rsidRPr="006923AE" w:rsidRDefault="0041363B" w:rsidP="009468BE">
      <w:pPr>
        <w:rPr>
          <w:rFonts w:cs="Arial"/>
          <w:szCs w:val="22"/>
          <w:shd w:val="clear" w:color="auto" w:fill="FFFFFF"/>
        </w:rPr>
      </w:pPr>
      <w:r w:rsidRPr="0041363B">
        <w:rPr>
          <w:rFonts w:cs="Arial"/>
          <w:color w:val="000000"/>
          <w:szCs w:val="22"/>
        </w:rPr>
        <w:br/>
      </w:r>
      <w:r w:rsidRPr="0041363B">
        <w:rPr>
          <w:rFonts w:cs="Arial"/>
          <w:color w:val="000000"/>
          <w:szCs w:val="22"/>
          <w:shd w:val="clear" w:color="auto" w:fill="FFFFFF"/>
        </w:rPr>
        <w:t>Therefore, Council is satisfied that the applicant’s written request has adequately addressed the matters required to be demonstrated by cl 4.6(3).</w:t>
      </w:r>
      <w:r w:rsidRPr="0041363B">
        <w:rPr>
          <w:rFonts w:cs="Arial"/>
          <w:color w:val="000000"/>
          <w:szCs w:val="22"/>
        </w:rPr>
        <w:br/>
      </w:r>
      <w:r w:rsidRPr="0041363B">
        <w:rPr>
          <w:rFonts w:cs="Arial"/>
          <w:color w:val="000000"/>
          <w:szCs w:val="22"/>
        </w:rPr>
        <w:br/>
      </w:r>
      <w:r w:rsidRPr="0041363B">
        <w:rPr>
          <w:rFonts w:cs="Arial"/>
          <w:b/>
          <w:bCs/>
          <w:color w:val="000000"/>
          <w:szCs w:val="22"/>
          <w:shd w:val="clear" w:color="auto" w:fill="FFFFFF"/>
        </w:rPr>
        <w:t>Clause 4.6 (4)(a)(ii) (Public Interest) assessment:</w:t>
      </w:r>
      <w:r w:rsidRPr="0041363B">
        <w:rPr>
          <w:rFonts w:cs="Arial"/>
          <w:b/>
          <w:bCs/>
          <w:color w:val="000000"/>
          <w:szCs w:val="22"/>
          <w:shd w:val="clear" w:color="auto" w:fill="FFFFFF"/>
        </w:rPr>
        <w:br/>
      </w:r>
      <w:r w:rsidRPr="0041363B">
        <w:rPr>
          <w:rFonts w:cs="Arial"/>
          <w:color w:val="000000"/>
          <w:szCs w:val="22"/>
        </w:rPr>
        <w:br/>
      </w:r>
      <w:r w:rsidRPr="0041363B">
        <w:rPr>
          <w:rFonts w:cs="Arial"/>
          <w:color w:val="000000"/>
          <w:szCs w:val="22"/>
          <w:shd w:val="clear" w:color="auto" w:fill="FFFFFF"/>
        </w:rPr>
        <w:t>cl 4.6 (4)(a)(ii) requires the consent authority to be satisfied that:</w:t>
      </w:r>
      <w:r w:rsidRPr="0041363B">
        <w:rPr>
          <w:rFonts w:cs="Arial"/>
          <w:color w:val="000000"/>
          <w:szCs w:val="22"/>
        </w:rPr>
        <w:br/>
      </w:r>
      <w:r w:rsidRPr="0041363B">
        <w:rPr>
          <w:rFonts w:cs="Arial"/>
          <w:color w:val="000000"/>
          <w:szCs w:val="22"/>
        </w:rPr>
        <w:br/>
      </w:r>
      <w:r w:rsidRPr="0041363B">
        <w:rPr>
          <w:rFonts w:cs="Arial"/>
          <w:b/>
          <w:i/>
          <w:iCs/>
          <w:color w:val="000000"/>
          <w:szCs w:val="22"/>
          <w:shd w:val="clear" w:color="auto" w:fill="FFFFFF"/>
        </w:rPr>
        <w:t>(ii) the proposed development will be in the public interest because it is consistent with the objectives of the particular standard and the objectives for development within the zone in which the development is proposed to be carried out</w:t>
      </w:r>
      <w:r w:rsidRPr="0041363B">
        <w:rPr>
          <w:rFonts w:cs="Arial"/>
          <w:i/>
          <w:iCs/>
          <w:color w:val="000000"/>
          <w:szCs w:val="22"/>
          <w:shd w:val="clear" w:color="auto" w:fill="FFFFFF"/>
        </w:rPr>
        <w:br/>
      </w:r>
      <w:r w:rsidRPr="0041363B">
        <w:rPr>
          <w:rFonts w:cs="Arial"/>
          <w:color w:val="000000"/>
          <w:szCs w:val="22"/>
        </w:rPr>
        <w:br/>
      </w:r>
      <w:r w:rsidRPr="0041363B">
        <w:rPr>
          <w:rFonts w:cs="Arial"/>
          <w:b/>
          <w:color w:val="000000"/>
          <w:szCs w:val="22"/>
          <w:u w:val="single"/>
          <w:shd w:val="clear" w:color="auto" w:fill="FFFFFF"/>
        </w:rPr>
        <w:t>Comment:</w:t>
      </w:r>
      <w:r w:rsidRPr="0041363B">
        <w:rPr>
          <w:rFonts w:cs="Arial"/>
          <w:b/>
          <w:color w:val="000000"/>
          <w:szCs w:val="22"/>
          <w:u w:val="single"/>
          <w:shd w:val="clear" w:color="auto" w:fill="FFFFFF"/>
        </w:rPr>
        <w:br/>
      </w:r>
      <w:r w:rsidRPr="0041363B">
        <w:rPr>
          <w:rFonts w:cs="Arial"/>
          <w:szCs w:val="22"/>
        </w:rPr>
        <w:br/>
      </w:r>
      <w:r w:rsidRPr="0041363B">
        <w:rPr>
          <w:rFonts w:cs="Arial"/>
          <w:szCs w:val="22"/>
          <w:shd w:val="clear" w:color="auto" w:fill="FFFFFF"/>
        </w:rPr>
        <w:t xml:space="preserve">In considering whether or not the proposed development will be in the public interest, consideration must be given to the underlying objectives of the Height of </w:t>
      </w:r>
      <w:r w:rsidRPr="006923AE">
        <w:rPr>
          <w:rFonts w:cs="Arial"/>
          <w:szCs w:val="22"/>
          <w:shd w:val="clear" w:color="auto" w:fill="FFFFFF"/>
        </w:rPr>
        <w:t>B</w:t>
      </w:r>
      <w:r w:rsidRPr="0041363B">
        <w:rPr>
          <w:rFonts w:cs="Arial"/>
          <w:szCs w:val="22"/>
          <w:shd w:val="clear" w:color="auto" w:fill="FFFFFF"/>
        </w:rPr>
        <w:t xml:space="preserve">uildings development standard and the objectives of the R2 Low Density Residential zone. </w:t>
      </w:r>
      <w:r w:rsidR="006923AE" w:rsidRPr="006923AE">
        <w:rPr>
          <w:rFonts w:cs="Arial"/>
          <w:szCs w:val="22"/>
          <w:shd w:val="clear" w:color="auto" w:fill="FFFFFF"/>
        </w:rPr>
        <w:t>In addressing the public interest the submissions received have been considered including the initial submission and late submission from No.58 Castle Circuit.</w:t>
      </w:r>
    </w:p>
    <w:p w:rsidR="006923AE" w:rsidRPr="006923AE" w:rsidRDefault="006923AE" w:rsidP="009468BE">
      <w:pPr>
        <w:rPr>
          <w:rFonts w:cs="Arial"/>
          <w:szCs w:val="22"/>
          <w:shd w:val="clear" w:color="auto" w:fill="FFFFFF"/>
        </w:rPr>
      </w:pPr>
    </w:p>
    <w:p w:rsidR="006923AE" w:rsidRPr="006923AE" w:rsidRDefault="006923AE" w:rsidP="006923AE">
      <w:pPr>
        <w:pStyle w:val="Default"/>
        <w:rPr>
          <w:rFonts w:ascii="Arial" w:hAnsi="Arial" w:cs="Arial"/>
          <w:sz w:val="22"/>
          <w:szCs w:val="22"/>
          <w:shd w:val="clear" w:color="auto" w:fill="FFFFFF"/>
        </w:rPr>
      </w:pPr>
      <w:r w:rsidRPr="006923AE">
        <w:rPr>
          <w:rFonts w:ascii="Arial" w:hAnsi="Arial" w:cs="Arial"/>
          <w:sz w:val="22"/>
          <w:szCs w:val="22"/>
          <w:shd w:val="clear" w:color="auto" w:fill="FFFFFF"/>
        </w:rPr>
        <w:t>Submission issues raised concerning</w:t>
      </w:r>
      <w:r w:rsidRPr="006923AE">
        <w:rPr>
          <w:rFonts w:ascii="Arial" w:hAnsi="Arial" w:cs="Arial"/>
          <w:sz w:val="22"/>
          <w:szCs w:val="22"/>
        </w:rPr>
        <w:t xml:space="preserve"> FSR including associated concerns regarding height, number of storey, open space, street setback, rear setback, garage parking, swimming pool, and earthworks are addressed with the report and assessment details. No additional conditions are recommended to those included with the assessment report to the DDP</w:t>
      </w:r>
      <w:r w:rsidR="005E3300">
        <w:rPr>
          <w:rFonts w:ascii="Arial" w:hAnsi="Arial" w:cs="Arial"/>
          <w:sz w:val="22"/>
          <w:szCs w:val="22"/>
        </w:rPr>
        <w:t>.</w:t>
      </w:r>
    </w:p>
    <w:p w:rsidR="006923AE" w:rsidRPr="006923AE" w:rsidRDefault="006923AE" w:rsidP="009468BE">
      <w:pPr>
        <w:rPr>
          <w:rFonts w:cs="Arial"/>
          <w:szCs w:val="22"/>
          <w:shd w:val="clear" w:color="auto" w:fill="FFFFFF"/>
        </w:rPr>
      </w:pPr>
    </w:p>
    <w:p w:rsidR="0041363B" w:rsidRPr="0041363B" w:rsidRDefault="0041363B" w:rsidP="009468BE">
      <w:pPr>
        <w:rPr>
          <w:rFonts w:cs="Arial"/>
          <w:szCs w:val="22"/>
          <w:shd w:val="clear" w:color="auto" w:fill="FFFFFF"/>
        </w:rPr>
      </w:pPr>
      <w:r w:rsidRPr="0041363B">
        <w:rPr>
          <w:rFonts w:cs="Arial"/>
          <w:szCs w:val="22"/>
          <w:shd w:val="clear" w:color="auto" w:fill="FFFFFF"/>
        </w:rPr>
        <w:t>An assessment against these objectives is provided below.</w:t>
      </w:r>
    </w:p>
    <w:p w:rsidR="0041363B" w:rsidRPr="0041363B" w:rsidRDefault="0041363B" w:rsidP="0041363B">
      <w:pPr>
        <w:rPr>
          <w:rFonts w:cs="Arial"/>
          <w:szCs w:val="22"/>
          <w:shd w:val="clear" w:color="auto" w:fill="FFFFFF"/>
        </w:rPr>
      </w:pPr>
      <w:r w:rsidRPr="0041363B">
        <w:rPr>
          <w:rFonts w:cs="Arial"/>
          <w:szCs w:val="22"/>
          <w:shd w:val="clear" w:color="auto" w:fill="FFFFFF"/>
        </w:rPr>
        <w:t> </w:t>
      </w:r>
    </w:p>
    <w:p w:rsidR="0041363B" w:rsidRPr="0041363B" w:rsidRDefault="0041363B" w:rsidP="0041363B">
      <w:pPr>
        <w:rPr>
          <w:rFonts w:cs="Arial"/>
          <w:szCs w:val="22"/>
        </w:rPr>
      </w:pPr>
      <w:r w:rsidRPr="0041363B">
        <w:rPr>
          <w:rFonts w:cs="Arial"/>
          <w:b/>
          <w:bCs/>
          <w:color w:val="000000"/>
          <w:szCs w:val="22"/>
          <w:shd w:val="clear" w:color="auto" w:fill="FFFFFF"/>
        </w:rPr>
        <w:t>Objectives of development standard</w:t>
      </w:r>
      <w:r w:rsidRPr="0041363B">
        <w:rPr>
          <w:rFonts w:cs="Arial"/>
          <w:b/>
          <w:bCs/>
          <w:color w:val="000000"/>
          <w:szCs w:val="22"/>
          <w:shd w:val="clear" w:color="auto" w:fill="FFFFFF"/>
        </w:rPr>
        <w:br/>
      </w:r>
      <w:r w:rsidRPr="0041363B">
        <w:rPr>
          <w:rFonts w:cs="Arial"/>
          <w:color w:val="000000"/>
          <w:szCs w:val="22"/>
        </w:rPr>
        <w:br/>
      </w:r>
      <w:proofErr w:type="gramStart"/>
      <w:r w:rsidRPr="0041363B">
        <w:rPr>
          <w:rFonts w:cs="Arial"/>
          <w:color w:val="000000"/>
          <w:szCs w:val="22"/>
          <w:shd w:val="clear" w:color="auto" w:fill="FFFFFF"/>
        </w:rPr>
        <w:t>The</w:t>
      </w:r>
      <w:proofErr w:type="gramEnd"/>
      <w:r w:rsidRPr="0041363B">
        <w:rPr>
          <w:rFonts w:cs="Arial"/>
          <w:color w:val="000000"/>
          <w:szCs w:val="22"/>
          <w:shd w:val="clear" w:color="auto" w:fill="FFFFFF"/>
        </w:rPr>
        <w:t xml:space="preserve"> underlying objectives of the standard, pursuant to Clause 4.4 – ‘Floor space ratio’ of the MLEP 2013 are:</w:t>
      </w:r>
      <w:r w:rsidRPr="0041363B">
        <w:rPr>
          <w:rFonts w:cs="Arial"/>
          <w:color w:val="000000"/>
          <w:szCs w:val="22"/>
        </w:rPr>
        <w:br/>
      </w:r>
      <w:r w:rsidRPr="0041363B">
        <w:rPr>
          <w:rFonts w:cs="Arial"/>
          <w:color w:val="000000"/>
          <w:szCs w:val="22"/>
        </w:rPr>
        <w:br/>
      </w:r>
    </w:p>
    <w:p w:rsidR="0041363B" w:rsidRPr="0041363B" w:rsidRDefault="0041363B" w:rsidP="0041363B">
      <w:pPr>
        <w:rPr>
          <w:rFonts w:cs="Arial"/>
          <w:szCs w:val="22"/>
        </w:rPr>
      </w:pPr>
      <w:r w:rsidRPr="0041363B">
        <w:rPr>
          <w:rFonts w:cs="Arial"/>
          <w:color w:val="000000"/>
          <w:szCs w:val="22"/>
          <w:shd w:val="clear" w:color="auto" w:fill="FFFFFF"/>
        </w:rPr>
        <w:t>(1) The objectives of this clause are as follows:</w:t>
      </w:r>
      <w:r w:rsidRPr="0041363B">
        <w:rPr>
          <w:rFonts w:cs="Arial"/>
          <w:color w:val="000000"/>
          <w:szCs w:val="22"/>
        </w:rPr>
        <w:br/>
      </w:r>
    </w:p>
    <w:p w:rsidR="0041363B" w:rsidRPr="0041363B" w:rsidRDefault="0041363B" w:rsidP="0041363B">
      <w:pPr>
        <w:shd w:val="clear" w:color="auto" w:fill="FFFFFF"/>
        <w:rPr>
          <w:rFonts w:cs="Arial"/>
          <w:color w:val="000000"/>
          <w:szCs w:val="22"/>
        </w:rPr>
      </w:pPr>
      <w:r w:rsidRPr="0041363B">
        <w:rPr>
          <w:rFonts w:cs="Arial"/>
          <w:color w:val="000000"/>
          <w:szCs w:val="22"/>
        </w:rPr>
        <w:br/>
      </w:r>
      <w:r w:rsidRPr="0041363B">
        <w:rPr>
          <w:rFonts w:cs="Arial"/>
          <w:b/>
          <w:i/>
          <w:iCs/>
          <w:color w:val="000000"/>
          <w:szCs w:val="22"/>
        </w:rPr>
        <w:t xml:space="preserve">a) </w:t>
      </w:r>
      <w:proofErr w:type="gramStart"/>
      <w:r w:rsidRPr="0041363B">
        <w:rPr>
          <w:rFonts w:cs="Arial"/>
          <w:b/>
          <w:i/>
          <w:iCs/>
          <w:color w:val="000000"/>
          <w:szCs w:val="22"/>
        </w:rPr>
        <w:t>to</w:t>
      </w:r>
      <w:proofErr w:type="gramEnd"/>
      <w:r w:rsidRPr="0041363B">
        <w:rPr>
          <w:rFonts w:cs="Arial"/>
          <w:b/>
          <w:i/>
          <w:iCs/>
          <w:color w:val="000000"/>
          <w:szCs w:val="22"/>
        </w:rPr>
        <w:t xml:space="preserve"> ensure the bulk and scale of development is consistent with the existing and desired streetscape character,</w:t>
      </w:r>
      <w:r w:rsidRPr="0041363B">
        <w:rPr>
          <w:rFonts w:cs="Arial"/>
          <w:b/>
          <w:color w:val="000000"/>
          <w:szCs w:val="22"/>
        </w:rPr>
        <w:br/>
      </w:r>
      <w:r w:rsidRPr="0041363B">
        <w:rPr>
          <w:rFonts w:cs="Arial"/>
          <w:color w:val="000000"/>
          <w:szCs w:val="22"/>
        </w:rPr>
        <w:br/>
      </w:r>
      <w:r w:rsidRPr="0041363B">
        <w:rPr>
          <w:rFonts w:cs="Arial"/>
          <w:color w:val="000000"/>
          <w:szCs w:val="22"/>
          <w:u w:val="single"/>
        </w:rPr>
        <w:t>Comment</w:t>
      </w:r>
      <w:r w:rsidRPr="0041363B">
        <w:rPr>
          <w:rFonts w:cs="Arial"/>
          <w:color w:val="000000"/>
          <w:szCs w:val="22"/>
        </w:rPr>
        <w:t>:</w:t>
      </w:r>
      <w:r w:rsidRPr="0041363B">
        <w:rPr>
          <w:rFonts w:cs="Arial"/>
          <w:color w:val="000000"/>
          <w:szCs w:val="22"/>
        </w:rPr>
        <w:br/>
      </w:r>
      <w:r w:rsidRPr="0041363B">
        <w:rPr>
          <w:rFonts w:cs="Arial"/>
          <w:color w:val="000000"/>
          <w:szCs w:val="22"/>
        </w:rPr>
        <w:br/>
        <w:t>The proposed façade has a 1-storey scale, which is well below the permissible height limit of 8.5m, since the road alignment is much higher that the garage level of the building. Whilst occupying approximately 40% of the length of the front boundaries the location of garages and entry points above living areas is a common feature for properties on the low side of the road for very steep land. The floor area distribution of the proposed dwelling allows for retention of water views and is compatible with the sensitive nature of the locality.</w:t>
      </w:r>
      <w:r w:rsidRPr="0041363B">
        <w:rPr>
          <w:rFonts w:cs="Arial"/>
          <w:color w:val="000000"/>
          <w:szCs w:val="22"/>
        </w:rPr>
        <w:br/>
      </w:r>
      <w:r w:rsidRPr="0041363B">
        <w:rPr>
          <w:rFonts w:cs="Arial"/>
          <w:color w:val="000000"/>
          <w:szCs w:val="22"/>
        </w:rPr>
        <w:br/>
      </w:r>
      <w:r w:rsidRPr="0041363B">
        <w:rPr>
          <w:rFonts w:cs="Arial"/>
          <w:b/>
          <w:i/>
          <w:iCs/>
          <w:color w:val="000000"/>
          <w:szCs w:val="22"/>
        </w:rPr>
        <w:t xml:space="preserve">b) </w:t>
      </w:r>
      <w:proofErr w:type="gramStart"/>
      <w:r w:rsidRPr="0041363B">
        <w:rPr>
          <w:rFonts w:cs="Arial"/>
          <w:b/>
          <w:i/>
          <w:iCs/>
          <w:color w:val="000000"/>
          <w:szCs w:val="22"/>
        </w:rPr>
        <w:t>to</w:t>
      </w:r>
      <w:proofErr w:type="gramEnd"/>
      <w:r w:rsidRPr="0041363B">
        <w:rPr>
          <w:rFonts w:cs="Arial"/>
          <w:b/>
          <w:i/>
          <w:iCs/>
          <w:color w:val="000000"/>
          <w:szCs w:val="22"/>
        </w:rPr>
        <w:t xml:space="preserve"> control building density and bulk in relation to a site area to ensure that development does not obscure important landscape and townscape features,</w:t>
      </w:r>
      <w:r w:rsidRPr="0041363B">
        <w:rPr>
          <w:rFonts w:cs="Arial"/>
          <w:color w:val="000000"/>
          <w:szCs w:val="22"/>
        </w:rPr>
        <w:br/>
      </w:r>
      <w:r w:rsidRPr="0041363B">
        <w:rPr>
          <w:rFonts w:cs="Arial"/>
          <w:color w:val="000000"/>
          <w:szCs w:val="22"/>
        </w:rPr>
        <w:br/>
      </w:r>
      <w:r w:rsidRPr="0041363B">
        <w:rPr>
          <w:rFonts w:cs="Arial"/>
          <w:color w:val="000000"/>
          <w:szCs w:val="22"/>
          <w:u w:val="single"/>
        </w:rPr>
        <w:t>Comment</w:t>
      </w:r>
      <w:r w:rsidRPr="0041363B">
        <w:rPr>
          <w:rFonts w:cs="Arial"/>
          <w:color w:val="000000"/>
          <w:szCs w:val="22"/>
        </w:rPr>
        <w:t>:</w:t>
      </w:r>
      <w:r w:rsidRPr="0041363B">
        <w:rPr>
          <w:rFonts w:cs="Arial"/>
          <w:color w:val="000000"/>
          <w:szCs w:val="22"/>
        </w:rPr>
        <w:br/>
      </w:r>
      <w:r w:rsidRPr="0041363B">
        <w:rPr>
          <w:rFonts w:cs="Arial"/>
          <w:color w:val="000000"/>
          <w:szCs w:val="22"/>
        </w:rPr>
        <w:br/>
        <w:t>The proposed FSR does not preclude the development to be sympathetic with the existing bushland and harbour scenic area within the locality. The proposed density and bulk do not dominate the subject site and allow for an integrated landscaping, whilst</w:t>
      </w:r>
      <w:r w:rsidRPr="0041363B">
        <w:rPr>
          <w:rFonts w:cs="Arial"/>
          <w:color w:val="000000"/>
          <w:szCs w:val="22"/>
        </w:rPr>
        <w:br/>
        <w:t>protecting water views from surrounding properties and public areas.</w:t>
      </w:r>
      <w:r w:rsidRPr="0041363B">
        <w:rPr>
          <w:rFonts w:cs="Arial"/>
          <w:color w:val="000000"/>
          <w:szCs w:val="22"/>
        </w:rPr>
        <w:br/>
      </w:r>
      <w:r w:rsidRPr="0041363B">
        <w:rPr>
          <w:rFonts w:cs="Arial"/>
          <w:color w:val="000000"/>
          <w:szCs w:val="22"/>
        </w:rPr>
        <w:br/>
      </w:r>
      <w:r w:rsidRPr="0041363B">
        <w:rPr>
          <w:rFonts w:cs="Arial"/>
          <w:b/>
          <w:i/>
          <w:iCs/>
          <w:color w:val="000000"/>
          <w:szCs w:val="22"/>
        </w:rPr>
        <w:t xml:space="preserve">c) </w:t>
      </w:r>
      <w:proofErr w:type="gramStart"/>
      <w:r w:rsidRPr="0041363B">
        <w:rPr>
          <w:rFonts w:cs="Arial"/>
          <w:b/>
          <w:i/>
          <w:iCs/>
          <w:color w:val="000000"/>
          <w:szCs w:val="22"/>
        </w:rPr>
        <w:t>to</w:t>
      </w:r>
      <w:proofErr w:type="gramEnd"/>
      <w:r w:rsidRPr="0041363B">
        <w:rPr>
          <w:rFonts w:cs="Arial"/>
          <w:b/>
          <w:i/>
          <w:iCs/>
          <w:color w:val="000000"/>
          <w:szCs w:val="22"/>
        </w:rPr>
        <w:t xml:space="preserve"> maintain an appropriate visual relationship between new development and the existing character and landscape of the area,</w:t>
      </w:r>
      <w:r w:rsidRPr="0041363B">
        <w:rPr>
          <w:rFonts w:cs="Arial"/>
          <w:b/>
          <w:i/>
          <w:iCs/>
          <w:color w:val="000000"/>
          <w:szCs w:val="22"/>
        </w:rPr>
        <w:br/>
      </w:r>
      <w:r w:rsidRPr="0041363B">
        <w:rPr>
          <w:rFonts w:cs="Arial"/>
          <w:b/>
          <w:color w:val="000000"/>
          <w:szCs w:val="22"/>
        </w:rPr>
        <w:br/>
      </w:r>
      <w:r w:rsidRPr="0041363B">
        <w:rPr>
          <w:rFonts w:cs="Arial"/>
          <w:color w:val="000000"/>
          <w:szCs w:val="22"/>
          <w:u w:val="single"/>
        </w:rPr>
        <w:t>Comment</w:t>
      </w:r>
      <w:r w:rsidRPr="0041363B">
        <w:rPr>
          <w:rFonts w:cs="Arial"/>
          <w:color w:val="000000"/>
          <w:szCs w:val="22"/>
        </w:rPr>
        <w:t>:</w:t>
      </w:r>
      <w:r w:rsidRPr="0041363B">
        <w:rPr>
          <w:rFonts w:cs="Arial"/>
          <w:color w:val="000000"/>
          <w:szCs w:val="22"/>
        </w:rPr>
        <w:br/>
      </w:r>
      <w:r w:rsidRPr="0041363B">
        <w:rPr>
          <w:rFonts w:cs="Arial"/>
          <w:color w:val="000000"/>
          <w:szCs w:val="22"/>
        </w:rPr>
        <w:br/>
        <w:t xml:space="preserve">The development presents a </w:t>
      </w:r>
      <w:proofErr w:type="spellStart"/>
      <w:r w:rsidRPr="0041363B">
        <w:rPr>
          <w:rFonts w:cs="Arial"/>
          <w:color w:val="000000"/>
          <w:szCs w:val="22"/>
        </w:rPr>
        <w:t>well articulated</w:t>
      </w:r>
      <w:proofErr w:type="spellEnd"/>
      <w:r w:rsidRPr="0041363B">
        <w:rPr>
          <w:rFonts w:cs="Arial"/>
          <w:color w:val="000000"/>
          <w:szCs w:val="22"/>
        </w:rPr>
        <w:t xml:space="preserve"> built form and includes balconies and non-trafficable garden roofs. Additionally, the proposal includes a high-quality landscaping which assist to ensure a positive visual relationship between the dwelling house and existing character and landscape of the foreshore area. External materials and landscaping selections are responsive to the Flame Zone bushfire protection requirements and therefore the building relies on internal amenity and balcony space more than other properties where flatter urban land exists. The natural site levels and landscape zones will be restored with new native planting and ground covers to replace the existing invasive plants on the site.</w:t>
      </w:r>
      <w:r w:rsidRPr="0041363B">
        <w:rPr>
          <w:rFonts w:cs="Arial"/>
          <w:color w:val="000000"/>
          <w:szCs w:val="22"/>
        </w:rPr>
        <w:br/>
      </w:r>
      <w:r w:rsidRPr="0041363B">
        <w:rPr>
          <w:rFonts w:cs="Arial"/>
          <w:color w:val="000000"/>
          <w:szCs w:val="22"/>
        </w:rPr>
        <w:br/>
      </w:r>
      <w:r w:rsidRPr="0041363B">
        <w:rPr>
          <w:rFonts w:cs="Arial"/>
          <w:b/>
          <w:i/>
          <w:iCs/>
          <w:color w:val="000000"/>
          <w:szCs w:val="22"/>
        </w:rPr>
        <w:t>d) to minimise adverse environmental impacts on the use or enjoyment of adjoining land and the public domain</w:t>
      </w:r>
      <w:proofErr w:type="gramStart"/>
      <w:r w:rsidRPr="0041363B">
        <w:rPr>
          <w:rFonts w:cs="Arial"/>
          <w:b/>
          <w:i/>
          <w:iCs/>
          <w:color w:val="000000"/>
          <w:szCs w:val="22"/>
        </w:rPr>
        <w:t>,</w:t>
      </w:r>
      <w:proofErr w:type="gramEnd"/>
      <w:r w:rsidRPr="0041363B">
        <w:rPr>
          <w:rFonts w:cs="Arial"/>
          <w:b/>
          <w:color w:val="000000"/>
          <w:szCs w:val="22"/>
        </w:rPr>
        <w:br/>
      </w:r>
      <w:r w:rsidRPr="0041363B">
        <w:rPr>
          <w:rFonts w:cs="Arial"/>
          <w:color w:val="000000"/>
          <w:szCs w:val="22"/>
        </w:rPr>
        <w:br/>
      </w:r>
      <w:r w:rsidRPr="0041363B">
        <w:rPr>
          <w:rFonts w:cs="Arial"/>
          <w:color w:val="000000"/>
          <w:szCs w:val="22"/>
          <w:u w:val="single"/>
        </w:rPr>
        <w:lastRenderedPageBreak/>
        <w:t>Comment</w:t>
      </w:r>
      <w:r w:rsidRPr="0041363B">
        <w:rPr>
          <w:rFonts w:cs="Arial"/>
          <w:color w:val="000000"/>
          <w:szCs w:val="22"/>
        </w:rPr>
        <w:t>:</w:t>
      </w:r>
      <w:r w:rsidRPr="0041363B">
        <w:rPr>
          <w:rFonts w:cs="Arial"/>
          <w:color w:val="000000"/>
          <w:szCs w:val="22"/>
        </w:rPr>
        <w:br/>
      </w:r>
      <w:r w:rsidRPr="0041363B">
        <w:rPr>
          <w:rFonts w:cs="Arial"/>
          <w:color w:val="000000"/>
          <w:szCs w:val="22"/>
        </w:rPr>
        <w:br/>
        <w:t xml:space="preserve">The FSR 0:4:1 variation to the actual site area will not be responsible for any unreasonable loss of privacy, loss of water views or depreciation of amenities and it is noted it complies with the FSR variation allowance prescribed by the DCP for "Area U". </w:t>
      </w:r>
      <w:r w:rsidR="006923AE">
        <w:rPr>
          <w:rFonts w:cs="Arial"/>
          <w:color w:val="000000"/>
          <w:szCs w:val="22"/>
        </w:rPr>
        <w:br/>
      </w:r>
      <w:r w:rsidR="006923AE">
        <w:rPr>
          <w:rFonts w:cs="Arial"/>
          <w:color w:val="000000"/>
          <w:szCs w:val="22"/>
        </w:rPr>
        <w:br/>
      </w:r>
      <w:r w:rsidRPr="0041363B">
        <w:rPr>
          <w:rFonts w:cs="Arial"/>
          <w:color w:val="000000"/>
          <w:szCs w:val="22"/>
        </w:rPr>
        <w:t>The proposed dwelling will retain adequate level of solar access to the southern neighbour.</w:t>
      </w:r>
      <w:r w:rsidRPr="0041363B">
        <w:rPr>
          <w:rFonts w:cs="Arial"/>
          <w:color w:val="000000"/>
          <w:szCs w:val="22"/>
        </w:rPr>
        <w:br/>
      </w:r>
      <w:r w:rsidRPr="0041363B">
        <w:rPr>
          <w:rFonts w:cs="Arial"/>
          <w:color w:val="000000"/>
          <w:szCs w:val="22"/>
        </w:rPr>
        <w:br/>
      </w:r>
      <w:r w:rsidRPr="0041363B">
        <w:rPr>
          <w:rFonts w:cs="Arial"/>
          <w:b/>
          <w:i/>
          <w:iCs/>
          <w:color w:val="000000"/>
          <w:szCs w:val="22"/>
        </w:rPr>
        <w:t>e) </w:t>
      </w:r>
      <w:proofErr w:type="gramStart"/>
      <w:r w:rsidRPr="0041363B">
        <w:rPr>
          <w:rFonts w:cs="Arial"/>
          <w:b/>
          <w:i/>
          <w:iCs/>
          <w:color w:val="000000"/>
          <w:szCs w:val="22"/>
        </w:rPr>
        <w:t>to</w:t>
      </w:r>
      <w:proofErr w:type="gramEnd"/>
      <w:r w:rsidRPr="0041363B">
        <w:rPr>
          <w:rFonts w:cs="Arial"/>
          <w:b/>
          <w:i/>
          <w:iCs/>
          <w:color w:val="000000"/>
          <w:szCs w:val="22"/>
        </w:rPr>
        <w:t xml:space="preserve"> provide for the viability of business zones and encourage the development, expansion and diversity of business activities that will contribute to economic growth, the retention of local services and employment opportunities in local centres</w:t>
      </w:r>
      <w:r w:rsidRPr="0041363B">
        <w:rPr>
          <w:rFonts w:cs="Arial"/>
          <w:b/>
          <w:color w:val="000000"/>
          <w:szCs w:val="22"/>
        </w:rPr>
        <w:t>.</w:t>
      </w:r>
      <w:r w:rsidRPr="0041363B">
        <w:rPr>
          <w:rFonts w:cs="Arial"/>
          <w:b/>
          <w:color w:val="000000"/>
          <w:szCs w:val="22"/>
        </w:rPr>
        <w:br/>
      </w:r>
      <w:r w:rsidRPr="0041363B">
        <w:rPr>
          <w:rFonts w:cs="Arial"/>
          <w:color w:val="000000"/>
          <w:szCs w:val="22"/>
        </w:rPr>
        <w:br/>
      </w:r>
      <w:r w:rsidRPr="0041363B">
        <w:rPr>
          <w:rFonts w:cs="Arial"/>
          <w:color w:val="000000"/>
          <w:szCs w:val="22"/>
          <w:u w:val="single"/>
        </w:rPr>
        <w:t>Comment</w:t>
      </w:r>
      <w:proofErr w:type="gramStart"/>
      <w:r w:rsidRPr="0041363B">
        <w:rPr>
          <w:rFonts w:cs="Arial"/>
          <w:color w:val="000000"/>
          <w:szCs w:val="22"/>
        </w:rPr>
        <w:t>:</w:t>
      </w:r>
      <w:proofErr w:type="gramEnd"/>
      <w:r w:rsidRPr="0041363B">
        <w:rPr>
          <w:rFonts w:cs="Arial"/>
          <w:color w:val="000000"/>
          <w:szCs w:val="22"/>
        </w:rPr>
        <w:br/>
      </w:r>
      <w:r w:rsidRPr="0041363B">
        <w:rPr>
          <w:rFonts w:cs="Arial"/>
          <w:color w:val="000000"/>
          <w:szCs w:val="22"/>
        </w:rPr>
        <w:br/>
        <w:t>This objective is not applicable to the dwelling house as the land is not in a business zone.</w:t>
      </w:r>
    </w:p>
    <w:p w:rsidR="0041363B" w:rsidRPr="0041363B" w:rsidRDefault="0041363B" w:rsidP="0041363B">
      <w:pPr>
        <w:rPr>
          <w:rFonts w:cs="Arial"/>
          <w:szCs w:val="22"/>
        </w:rPr>
      </w:pPr>
      <w:r w:rsidRPr="0041363B">
        <w:rPr>
          <w:rFonts w:cs="Arial"/>
          <w:color w:val="000000"/>
          <w:szCs w:val="22"/>
        </w:rPr>
        <w:br/>
      </w:r>
      <w:r w:rsidRPr="0041363B">
        <w:rPr>
          <w:rFonts w:cs="Arial"/>
          <w:b/>
          <w:bCs/>
          <w:color w:val="000000"/>
          <w:szCs w:val="22"/>
          <w:shd w:val="clear" w:color="auto" w:fill="FFFFFF"/>
        </w:rPr>
        <w:t>Zone objectives</w:t>
      </w:r>
      <w:r w:rsidRPr="0041363B">
        <w:rPr>
          <w:rFonts w:cs="Arial"/>
          <w:color w:val="000000"/>
          <w:szCs w:val="22"/>
        </w:rPr>
        <w:br/>
      </w:r>
      <w:r w:rsidRPr="0041363B">
        <w:rPr>
          <w:rFonts w:cs="Arial"/>
          <w:color w:val="000000"/>
          <w:szCs w:val="22"/>
        </w:rPr>
        <w:br/>
      </w:r>
      <w:proofErr w:type="gramStart"/>
      <w:r w:rsidRPr="0041363B">
        <w:rPr>
          <w:rFonts w:cs="Arial"/>
          <w:color w:val="000000"/>
          <w:szCs w:val="22"/>
          <w:shd w:val="clear" w:color="auto" w:fill="FFFFFF"/>
        </w:rPr>
        <w:t>The</w:t>
      </w:r>
      <w:proofErr w:type="gramEnd"/>
      <w:r w:rsidRPr="0041363B">
        <w:rPr>
          <w:rFonts w:cs="Arial"/>
          <w:color w:val="000000"/>
          <w:szCs w:val="22"/>
          <w:shd w:val="clear" w:color="auto" w:fill="FFFFFF"/>
        </w:rPr>
        <w:t xml:space="preserve"> underlying objectives of the R2 Low Density Residential zone are:</w:t>
      </w:r>
      <w:r w:rsidRPr="0041363B">
        <w:rPr>
          <w:rFonts w:cs="Arial"/>
          <w:color w:val="000000"/>
          <w:szCs w:val="22"/>
        </w:rPr>
        <w:br/>
      </w:r>
      <w:r w:rsidRPr="0041363B">
        <w:rPr>
          <w:rFonts w:cs="Arial"/>
          <w:color w:val="000000"/>
          <w:szCs w:val="22"/>
        </w:rPr>
        <w:br/>
      </w:r>
    </w:p>
    <w:p w:rsidR="0041363B" w:rsidRPr="0041363B" w:rsidRDefault="0041363B" w:rsidP="0041363B">
      <w:pPr>
        <w:numPr>
          <w:ilvl w:val="0"/>
          <w:numId w:val="48"/>
        </w:numPr>
        <w:shd w:val="clear" w:color="auto" w:fill="FFFFFF"/>
        <w:spacing w:after="240"/>
        <w:ind w:left="456"/>
        <w:rPr>
          <w:rFonts w:cs="Arial"/>
          <w:szCs w:val="22"/>
        </w:rPr>
      </w:pPr>
      <w:r w:rsidRPr="0041363B">
        <w:rPr>
          <w:rFonts w:cs="Arial"/>
          <w:b/>
          <w:i/>
          <w:iCs/>
          <w:szCs w:val="22"/>
        </w:rPr>
        <w:t>To provide for the housing needs of the community within a low-density residential environment.</w:t>
      </w:r>
      <w:r w:rsidRPr="0041363B">
        <w:rPr>
          <w:rFonts w:cs="Arial"/>
          <w:b/>
          <w:i/>
          <w:iCs/>
          <w:szCs w:val="22"/>
        </w:rPr>
        <w:br/>
      </w:r>
      <w:r w:rsidRPr="0041363B">
        <w:rPr>
          <w:rFonts w:cs="Arial"/>
          <w:szCs w:val="22"/>
          <w:u w:val="single"/>
        </w:rPr>
        <w:br/>
        <w:t>Comment:</w:t>
      </w:r>
      <w:r w:rsidRPr="0041363B">
        <w:rPr>
          <w:rFonts w:cs="Arial"/>
          <w:i/>
          <w:iCs/>
          <w:szCs w:val="22"/>
        </w:rPr>
        <w:br/>
      </w:r>
      <w:r w:rsidRPr="0041363B">
        <w:rPr>
          <w:rFonts w:cs="Arial"/>
          <w:i/>
          <w:iCs/>
          <w:szCs w:val="22"/>
        </w:rPr>
        <w:br/>
      </w:r>
      <w:r w:rsidRPr="0041363B">
        <w:rPr>
          <w:rFonts w:cs="Arial"/>
          <w:szCs w:val="22"/>
        </w:rPr>
        <w:t xml:space="preserve">The FSR variation does not offend this objective of the zone in that the use of the remains, for detached housing in a low density environment, and is provided within a landscape setting that is compatible with the height, density, and site constraints that </w:t>
      </w:r>
      <w:r w:rsidR="006923AE" w:rsidRPr="0041363B">
        <w:rPr>
          <w:rFonts w:cs="Arial"/>
          <w:szCs w:val="22"/>
        </w:rPr>
        <w:t>influence</w:t>
      </w:r>
      <w:r w:rsidRPr="0041363B">
        <w:rPr>
          <w:rFonts w:cs="Arial"/>
          <w:szCs w:val="22"/>
        </w:rPr>
        <w:t xml:space="preserve"> the pattern of surrounding development.</w:t>
      </w:r>
      <w:r w:rsidRPr="0041363B">
        <w:rPr>
          <w:rFonts w:cs="Arial"/>
          <w:szCs w:val="22"/>
        </w:rPr>
        <w:br/>
      </w:r>
      <w:r w:rsidRPr="0041363B">
        <w:rPr>
          <w:rFonts w:cs="Arial"/>
          <w:szCs w:val="22"/>
        </w:rPr>
        <w:br/>
        <w:t>It is considered that the development satisfies this objective</w:t>
      </w:r>
      <w:r w:rsidRPr="0041363B">
        <w:rPr>
          <w:rFonts w:cs="Arial"/>
          <w:i/>
          <w:iCs/>
          <w:szCs w:val="22"/>
        </w:rPr>
        <w:t>.</w:t>
      </w:r>
    </w:p>
    <w:p w:rsidR="0041363B" w:rsidRPr="0041363B" w:rsidRDefault="0041363B" w:rsidP="0041363B">
      <w:pPr>
        <w:numPr>
          <w:ilvl w:val="0"/>
          <w:numId w:val="48"/>
        </w:numPr>
        <w:shd w:val="clear" w:color="auto" w:fill="FFFFFF"/>
        <w:ind w:left="456"/>
        <w:rPr>
          <w:rFonts w:cs="Arial"/>
          <w:szCs w:val="22"/>
        </w:rPr>
      </w:pPr>
      <w:r w:rsidRPr="0041363B">
        <w:rPr>
          <w:rFonts w:cs="Arial"/>
          <w:b/>
          <w:i/>
          <w:iCs/>
          <w:szCs w:val="22"/>
        </w:rPr>
        <w:t>To enable other land uses that provide facilities or services to meet the day to day needs of residents.</w:t>
      </w:r>
      <w:r w:rsidRPr="0041363B">
        <w:rPr>
          <w:rFonts w:cs="Arial"/>
          <w:b/>
          <w:i/>
          <w:iCs/>
          <w:szCs w:val="22"/>
        </w:rPr>
        <w:br/>
      </w:r>
      <w:r w:rsidRPr="0041363B">
        <w:rPr>
          <w:rFonts w:cs="Arial"/>
          <w:i/>
          <w:iCs/>
          <w:szCs w:val="22"/>
        </w:rPr>
        <w:br/>
      </w:r>
      <w:r w:rsidRPr="0041363B">
        <w:rPr>
          <w:rFonts w:cs="Arial"/>
          <w:szCs w:val="22"/>
          <w:u w:val="single"/>
        </w:rPr>
        <w:t>Comment</w:t>
      </w:r>
      <w:proofErr w:type="gramStart"/>
      <w:r w:rsidRPr="0041363B">
        <w:rPr>
          <w:rFonts w:cs="Arial"/>
          <w:szCs w:val="22"/>
          <w:u w:val="single"/>
        </w:rPr>
        <w:t>:</w:t>
      </w:r>
      <w:proofErr w:type="gramEnd"/>
      <w:r w:rsidRPr="0041363B">
        <w:rPr>
          <w:rFonts w:cs="Arial"/>
          <w:szCs w:val="22"/>
          <w:u w:val="single"/>
        </w:rPr>
        <w:br/>
      </w:r>
      <w:r w:rsidRPr="0041363B">
        <w:rPr>
          <w:rFonts w:cs="Arial"/>
          <w:szCs w:val="22"/>
          <w:u w:val="single"/>
        </w:rPr>
        <w:br/>
      </w:r>
      <w:r w:rsidRPr="0041363B">
        <w:rPr>
          <w:rFonts w:cs="Arial"/>
          <w:szCs w:val="22"/>
        </w:rPr>
        <w:t>This clause is not relevant to the proposal as no other (non-residential services or facilities) are proposed.</w:t>
      </w:r>
      <w:r w:rsidRPr="0041363B">
        <w:rPr>
          <w:rFonts w:cs="Arial"/>
          <w:szCs w:val="22"/>
        </w:rPr>
        <w:br/>
      </w:r>
      <w:r w:rsidRPr="0041363B">
        <w:rPr>
          <w:rFonts w:cs="Arial"/>
          <w:szCs w:val="22"/>
        </w:rPr>
        <w:br/>
        <w:t>It is considered that the development satisfies this objective.</w:t>
      </w:r>
    </w:p>
    <w:p w:rsidR="0041363B" w:rsidRPr="0041363B" w:rsidRDefault="0041363B" w:rsidP="0041363B">
      <w:pPr>
        <w:rPr>
          <w:rFonts w:cs="Arial"/>
          <w:color w:val="000000"/>
          <w:szCs w:val="22"/>
          <w:shd w:val="clear" w:color="auto" w:fill="FFFFFF"/>
        </w:rPr>
      </w:pPr>
    </w:p>
    <w:p w:rsidR="0041363B" w:rsidRPr="0041363B" w:rsidRDefault="0041363B" w:rsidP="0041363B">
      <w:pPr>
        <w:rPr>
          <w:rFonts w:cs="Arial"/>
          <w:color w:val="000000"/>
          <w:szCs w:val="22"/>
          <w:shd w:val="clear" w:color="auto" w:fill="FFFFFF"/>
        </w:rPr>
      </w:pPr>
      <w:r w:rsidRPr="0041363B">
        <w:rPr>
          <w:rFonts w:cs="Arial"/>
          <w:color w:val="000000"/>
          <w:szCs w:val="22"/>
          <w:shd w:val="clear" w:color="auto" w:fill="FFFFFF"/>
        </w:rPr>
        <w:t> </w:t>
      </w:r>
    </w:p>
    <w:p w:rsidR="0041363B" w:rsidRPr="0041363B" w:rsidRDefault="0041363B" w:rsidP="0041363B">
      <w:pPr>
        <w:rPr>
          <w:rFonts w:cs="Arial"/>
          <w:szCs w:val="22"/>
        </w:rPr>
      </w:pPr>
      <w:r w:rsidRPr="0041363B">
        <w:rPr>
          <w:rFonts w:cs="Arial"/>
          <w:b/>
          <w:color w:val="000000"/>
          <w:szCs w:val="22"/>
          <w:u w:val="single"/>
          <w:shd w:val="clear" w:color="auto" w:fill="FFFFFF"/>
        </w:rPr>
        <w:t>Conclusion</w:t>
      </w:r>
      <w:proofErr w:type="gramStart"/>
      <w:r w:rsidRPr="0041363B">
        <w:rPr>
          <w:rFonts w:cs="Arial"/>
          <w:b/>
          <w:color w:val="000000"/>
          <w:szCs w:val="22"/>
          <w:u w:val="single"/>
          <w:shd w:val="clear" w:color="auto" w:fill="FFFFFF"/>
        </w:rPr>
        <w:t>:</w:t>
      </w:r>
      <w:proofErr w:type="gramEnd"/>
      <w:r w:rsidRPr="0041363B">
        <w:rPr>
          <w:rFonts w:cs="Arial"/>
          <w:color w:val="000000"/>
          <w:szCs w:val="22"/>
          <w:u w:val="single"/>
          <w:shd w:val="clear" w:color="auto" w:fill="FFFFFF"/>
        </w:rPr>
        <w:br/>
      </w:r>
      <w:r w:rsidRPr="0041363B">
        <w:rPr>
          <w:rFonts w:cs="Arial"/>
          <w:color w:val="000000"/>
          <w:szCs w:val="22"/>
          <w:shd w:val="clear" w:color="auto" w:fill="FFFFFF"/>
        </w:rPr>
        <w:br/>
        <w:t>For the reasons detailed above, the proposal is considered to be consistent with the objectives of the R2 Low Density Residential zone.</w:t>
      </w:r>
      <w:r w:rsidRPr="0041363B">
        <w:rPr>
          <w:rFonts w:cs="Arial"/>
          <w:color w:val="000000"/>
          <w:szCs w:val="22"/>
          <w:shd w:val="clear" w:color="auto" w:fill="FFFFFF"/>
        </w:rPr>
        <w:br/>
      </w:r>
      <w:r w:rsidRPr="0041363B">
        <w:rPr>
          <w:rFonts w:cs="Arial"/>
          <w:color w:val="000000"/>
          <w:szCs w:val="22"/>
          <w:shd w:val="clear" w:color="auto" w:fill="FFFFFF"/>
        </w:rPr>
        <w:br/>
      </w:r>
      <w:r w:rsidRPr="0041363B">
        <w:rPr>
          <w:rFonts w:cs="Arial"/>
          <w:b/>
          <w:bCs/>
          <w:color w:val="000000"/>
          <w:szCs w:val="22"/>
          <w:shd w:val="clear" w:color="auto" w:fill="FFFFFF"/>
        </w:rPr>
        <w:t>Clause 4.6 (4</w:t>
      </w:r>
      <w:proofErr w:type="gramStart"/>
      <w:r w:rsidRPr="0041363B">
        <w:rPr>
          <w:rFonts w:cs="Arial"/>
          <w:b/>
          <w:bCs/>
          <w:color w:val="000000"/>
          <w:szCs w:val="22"/>
          <w:shd w:val="clear" w:color="auto" w:fill="FFFFFF"/>
        </w:rPr>
        <w:t>)(</w:t>
      </w:r>
      <w:proofErr w:type="gramEnd"/>
      <w:r w:rsidRPr="0041363B">
        <w:rPr>
          <w:rFonts w:cs="Arial"/>
          <w:b/>
          <w:bCs/>
          <w:color w:val="000000"/>
          <w:szCs w:val="22"/>
          <w:shd w:val="clear" w:color="auto" w:fill="FFFFFF"/>
        </w:rPr>
        <w:t>b) (Concurrence of the Secretary) assessment:</w:t>
      </w:r>
      <w:r w:rsidR="006923AE">
        <w:rPr>
          <w:rFonts w:cs="Arial"/>
          <w:color w:val="000000"/>
          <w:szCs w:val="22"/>
          <w:shd w:val="clear" w:color="auto" w:fill="FFFFFF"/>
        </w:rPr>
        <w:br/>
      </w:r>
      <w:r w:rsidR="006923AE">
        <w:rPr>
          <w:rFonts w:cs="Arial"/>
          <w:color w:val="000000"/>
          <w:szCs w:val="22"/>
          <w:shd w:val="clear" w:color="auto" w:fill="FFFFFF"/>
        </w:rPr>
        <w:br/>
      </w:r>
      <w:r w:rsidR="006923AE">
        <w:rPr>
          <w:rFonts w:cs="Arial"/>
          <w:color w:val="000000"/>
          <w:szCs w:val="22"/>
          <w:shd w:val="clear" w:color="auto" w:fill="FFFFFF"/>
        </w:rPr>
        <w:lastRenderedPageBreak/>
        <w:t>Clause</w:t>
      </w:r>
      <w:r w:rsidRPr="0041363B">
        <w:rPr>
          <w:rFonts w:cs="Arial"/>
          <w:color w:val="000000"/>
          <w:szCs w:val="22"/>
          <w:shd w:val="clear" w:color="auto" w:fill="FFFFFF"/>
        </w:rPr>
        <w:t xml:space="preserve"> 4.6(4)(b) requires the concurrence of the Secretary to be obtained in order for development consent to be granted.</w:t>
      </w:r>
      <w:r w:rsidRPr="0041363B">
        <w:rPr>
          <w:rFonts w:cs="Arial"/>
          <w:color w:val="000000"/>
          <w:szCs w:val="22"/>
          <w:shd w:val="clear" w:color="auto" w:fill="FFFFFF"/>
        </w:rPr>
        <w:br/>
      </w:r>
      <w:r w:rsidRPr="0041363B">
        <w:rPr>
          <w:rFonts w:cs="Arial"/>
          <w:color w:val="000000"/>
          <w:szCs w:val="22"/>
          <w:shd w:val="clear" w:color="auto" w:fill="FFFFFF"/>
        </w:rPr>
        <w:br/>
      </w:r>
      <w:r w:rsidRPr="0041363B">
        <w:rPr>
          <w:rFonts w:cs="Arial"/>
          <w:i/>
          <w:color w:val="000000"/>
          <w:szCs w:val="22"/>
          <w:shd w:val="clear" w:color="auto" w:fill="FFFFFF"/>
        </w:rPr>
        <w:t>Planning Circular PS 18-003</w:t>
      </w:r>
      <w:r w:rsidRPr="0041363B">
        <w:rPr>
          <w:rFonts w:cs="Arial"/>
          <w:color w:val="000000"/>
          <w:szCs w:val="22"/>
          <w:shd w:val="clear" w:color="auto" w:fill="FFFFFF"/>
        </w:rPr>
        <w:t xml:space="preserve"> dated 21 February 2018, as issued by the NSW Department of Planning, advises that the concurrence of the Secretary may be assumed for exceptions to development standards under environmental planning instruments that adopt </w:t>
      </w:r>
      <w:r w:rsidRPr="0041363B">
        <w:rPr>
          <w:rFonts w:cs="Arial"/>
          <w:i/>
          <w:color w:val="000000"/>
          <w:szCs w:val="22"/>
          <w:shd w:val="clear" w:color="auto" w:fill="FFFFFF"/>
        </w:rPr>
        <w:t>Clause 4.6 of the Standard Instrument</w:t>
      </w:r>
      <w:r w:rsidRPr="0041363B">
        <w:rPr>
          <w:rFonts w:cs="Arial"/>
          <w:color w:val="000000"/>
          <w:szCs w:val="22"/>
          <w:shd w:val="clear" w:color="auto" w:fill="FFFFFF"/>
        </w:rPr>
        <w:t xml:space="preserve">. </w:t>
      </w:r>
      <w:r w:rsidR="006923AE">
        <w:rPr>
          <w:rFonts w:cs="Arial"/>
          <w:color w:val="000000"/>
          <w:szCs w:val="22"/>
          <w:shd w:val="clear" w:color="auto" w:fill="FFFFFF"/>
        </w:rPr>
        <w:br/>
      </w:r>
      <w:r w:rsidR="006923AE">
        <w:rPr>
          <w:rFonts w:cs="Arial"/>
          <w:color w:val="000000"/>
          <w:szCs w:val="22"/>
          <w:shd w:val="clear" w:color="auto" w:fill="FFFFFF"/>
        </w:rPr>
        <w:br/>
      </w:r>
      <w:r w:rsidRPr="0041363B">
        <w:rPr>
          <w:rFonts w:cs="Arial"/>
          <w:color w:val="000000"/>
          <w:szCs w:val="22"/>
          <w:shd w:val="clear" w:color="auto" w:fill="FFFFFF"/>
        </w:rPr>
        <w:t xml:space="preserve">In this regard, given the consistency of the variation to the objectives of the zone, and in accordance with correspondence from the Deputy Secretary on 24 May 2019, Council staff under the delegation of the </w:t>
      </w:r>
      <w:r w:rsidRPr="0041363B">
        <w:rPr>
          <w:rFonts w:cs="Arial"/>
          <w:i/>
          <w:color w:val="000000"/>
          <w:szCs w:val="22"/>
          <w:shd w:val="clear" w:color="auto" w:fill="FFFFFF"/>
        </w:rPr>
        <w:t>Development Determination Panel</w:t>
      </w:r>
      <w:r w:rsidRPr="0041363B">
        <w:rPr>
          <w:rFonts w:cs="Arial"/>
          <w:color w:val="000000"/>
          <w:szCs w:val="22"/>
          <w:shd w:val="clear" w:color="auto" w:fill="FFFFFF"/>
        </w:rPr>
        <w:t>, may assume the concurrence of the Secretary for variations to the Floor space ratio Development Standard associated with a single dwelling house (Class 1 building). </w:t>
      </w:r>
      <w:r w:rsidRPr="0041363B">
        <w:rPr>
          <w:rFonts w:cs="Arial"/>
          <w:color w:val="000000"/>
          <w:szCs w:val="22"/>
        </w:rPr>
        <w:br/>
      </w:r>
    </w:p>
    <w:p w:rsidR="0041363B" w:rsidRPr="0041363B" w:rsidRDefault="0041363B" w:rsidP="0041363B">
      <w:pPr>
        <w:shd w:val="clear" w:color="auto" w:fill="FFFFFF"/>
        <w:rPr>
          <w:rFonts w:cs="Arial"/>
          <w:color w:val="000000"/>
          <w:szCs w:val="22"/>
        </w:rPr>
      </w:pPr>
      <w:r w:rsidRPr="0041363B">
        <w:rPr>
          <w:rFonts w:cs="Arial"/>
          <w:color w:val="000000"/>
          <w:szCs w:val="22"/>
        </w:rPr>
        <w:t> </w:t>
      </w:r>
    </w:p>
    <w:p w:rsidR="00506DC1" w:rsidRPr="006923AE" w:rsidRDefault="009468BE" w:rsidP="00B86EDF">
      <w:pPr>
        <w:pStyle w:val="BodyText"/>
        <w:rPr>
          <w:rFonts w:cs="Arial"/>
          <w:b/>
          <w:szCs w:val="22"/>
        </w:rPr>
      </w:pPr>
      <w:r w:rsidRPr="006923AE">
        <w:rPr>
          <w:rFonts w:cs="Arial"/>
          <w:b/>
          <w:szCs w:val="22"/>
        </w:rPr>
        <w:t>Recommendation:</w:t>
      </w:r>
    </w:p>
    <w:p w:rsidR="009468BE" w:rsidRPr="006923AE" w:rsidRDefault="009468BE" w:rsidP="006923AE">
      <w:pPr>
        <w:pStyle w:val="BodyText"/>
        <w:rPr>
          <w:rFonts w:cs="Arial"/>
          <w:szCs w:val="22"/>
        </w:rPr>
      </w:pPr>
      <w:r w:rsidRPr="006923AE">
        <w:rPr>
          <w:rFonts w:cs="Arial"/>
          <w:szCs w:val="22"/>
        </w:rPr>
        <w:t>The Development Determination Plan include consideration of the above assessment of the floor space ratio with the determination of development application No.DA2020/1585 for the construction of a dwelling house and swimming pool at No.60 Castle Circuit, Seaforth</w:t>
      </w:r>
      <w:r w:rsidR="005E3300">
        <w:rPr>
          <w:rFonts w:cs="Arial"/>
          <w:szCs w:val="22"/>
        </w:rPr>
        <w:t>.</w:t>
      </w:r>
      <w:r w:rsidRPr="006923AE">
        <w:rPr>
          <w:rFonts w:cs="Arial"/>
          <w:szCs w:val="22"/>
        </w:rPr>
        <w:t xml:space="preserve"> </w:t>
      </w:r>
    </w:p>
    <w:sectPr w:rsidR="009468BE" w:rsidRPr="006923AE" w:rsidSect="0013675F">
      <w:headerReference w:type="even" r:id="rId7"/>
      <w:headerReference w:type="default" r:id="rId8"/>
      <w:footerReference w:type="even" r:id="rId9"/>
      <w:footerReference w:type="default" r:id="rId10"/>
      <w:headerReference w:type="first" r:id="rId11"/>
      <w:footerReference w:type="first" r:id="rId12"/>
      <w:pgSz w:w="11907" w:h="16840" w:code="9"/>
      <w:pgMar w:top="1985" w:right="170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F6" w:rsidRDefault="00E168F6">
      <w:r>
        <w:separator/>
      </w:r>
    </w:p>
  </w:endnote>
  <w:endnote w:type="continuationSeparator" w:id="0">
    <w:p w:rsidR="00E168F6" w:rsidRDefault="00E1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0" w:rsidRDefault="002A1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7B" w:rsidRDefault="00452421" w:rsidP="00FB2FC4">
    <w:pPr>
      <w:pStyle w:val="Footer"/>
    </w:pPr>
    <w:r>
      <w:rPr>
        <w:noProof/>
      </w:rPr>
      <w:fldChar w:fldCharType="begin"/>
    </w:r>
    <w:r>
      <w:rPr>
        <w:noProof/>
      </w:rPr>
      <w:instrText xml:space="preserve"> STYLEREF  RecordNumber  \* MERGEFORMAT </w:instrText>
    </w:r>
    <w:r w:rsidR="00922CC8">
      <w:rPr>
        <w:noProof/>
      </w:rPr>
      <w:fldChar w:fldCharType="separate"/>
    </w:r>
    <w:r w:rsidR="00922CC8">
      <w:rPr>
        <w:noProof/>
      </w:rPr>
      <w:t>2021/374394</w:t>
    </w:r>
    <w:r>
      <w:rPr>
        <w:noProof/>
      </w:rPr>
      <w:fldChar w:fldCharType="end"/>
    </w:r>
    <w:r w:rsidR="00FB2FC4">
      <w:tab/>
    </w:r>
    <w:r w:rsidR="00C50D7B">
      <w:t xml:space="preserve">Page </w:t>
    </w:r>
    <w:r w:rsidR="00C50D7B">
      <w:rPr>
        <w:rStyle w:val="PageNumber"/>
      </w:rPr>
      <w:fldChar w:fldCharType="begin"/>
    </w:r>
    <w:r w:rsidR="00C50D7B">
      <w:rPr>
        <w:rStyle w:val="PageNumber"/>
      </w:rPr>
      <w:instrText xml:space="preserve"> PAGE </w:instrText>
    </w:r>
    <w:r w:rsidR="00C50D7B">
      <w:rPr>
        <w:rStyle w:val="PageNumber"/>
      </w:rPr>
      <w:fldChar w:fldCharType="separate"/>
    </w:r>
    <w:r w:rsidR="00922CC8">
      <w:rPr>
        <w:rStyle w:val="PageNumber"/>
        <w:noProof/>
      </w:rPr>
      <w:t>8</w:t>
    </w:r>
    <w:r w:rsidR="00C50D7B">
      <w:rPr>
        <w:rStyle w:val="PageNumber"/>
      </w:rPr>
      <w:fldChar w:fldCharType="end"/>
    </w:r>
    <w:r w:rsidR="00C50D7B">
      <w:rPr>
        <w:rStyle w:val="PageNumber"/>
      </w:rPr>
      <w:t xml:space="preserve"> of </w:t>
    </w:r>
    <w:r w:rsidR="00C50D7B">
      <w:rPr>
        <w:rStyle w:val="PageNumber"/>
      </w:rPr>
      <w:fldChar w:fldCharType="begin"/>
    </w:r>
    <w:r w:rsidR="00C50D7B">
      <w:rPr>
        <w:rStyle w:val="PageNumber"/>
      </w:rPr>
      <w:instrText xml:space="preserve"> NUMPAGES </w:instrText>
    </w:r>
    <w:r w:rsidR="00C50D7B">
      <w:rPr>
        <w:rStyle w:val="PageNumber"/>
      </w:rPr>
      <w:fldChar w:fldCharType="separate"/>
    </w:r>
    <w:r w:rsidR="00922CC8">
      <w:rPr>
        <w:rStyle w:val="PageNumber"/>
        <w:noProof/>
      </w:rPr>
      <w:t>8</w:t>
    </w:r>
    <w:r w:rsidR="00C50D7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7B" w:rsidRDefault="00FB2FC4" w:rsidP="00FB2FC4">
    <w:pPr>
      <w:pStyle w:val="Footer"/>
    </w:pPr>
    <w:r>
      <w:tab/>
    </w:r>
    <w:r w:rsidR="00C50D7B">
      <w:t xml:space="preserve">Page </w:t>
    </w:r>
    <w:r w:rsidR="00C50D7B">
      <w:rPr>
        <w:rStyle w:val="PageNumber"/>
      </w:rPr>
      <w:fldChar w:fldCharType="begin"/>
    </w:r>
    <w:r w:rsidR="00C50D7B">
      <w:rPr>
        <w:rStyle w:val="PageNumber"/>
      </w:rPr>
      <w:instrText xml:space="preserve"> PAGE </w:instrText>
    </w:r>
    <w:r w:rsidR="00C50D7B">
      <w:rPr>
        <w:rStyle w:val="PageNumber"/>
      </w:rPr>
      <w:fldChar w:fldCharType="separate"/>
    </w:r>
    <w:r w:rsidR="00922CC8">
      <w:rPr>
        <w:rStyle w:val="PageNumber"/>
        <w:noProof/>
      </w:rPr>
      <w:t>1</w:t>
    </w:r>
    <w:r w:rsidR="00C50D7B">
      <w:rPr>
        <w:rStyle w:val="PageNumber"/>
      </w:rPr>
      <w:fldChar w:fldCharType="end"/>
    </w:r>
    <w:r w:rsidR="00C50D7B">
      <w:rPr>
        <w:rStyle w:val="PageNumber"/>
      </w:rPr>
      <w:t xml:space="preserve"> of </w:t>
    </w:r>
    <w:r w:rsidR="00C50D7B">
      <w:rPr>
        <w:rStyle w:val="PageNumber"/>
      </w:rPr>
      <w:fldChar w:fldCharType="begin"/>
    </w:r>
    <w:r w:rsidR="00C50D7B">
      <w:rPr>
        <w:rStyle w:val="PageNumber"/>
      </w:rPr>
      <w:instrText xml:space="preserve"> NUMPAGES </w:instrText>
    </w:r>
    <w:r w:rsidR="00C50D7B">
      <w:rPr>
        <w:rStyle w:val="PageNumber"/>
      </w:rPr>
      <w:fldChar w:fldCharType="separate"/>
    </w:r>
    <w:r w:rsidR="00922CC8">
      <w:rPr>
        <w:rStyle w:val="PageNumber"/>
        <w:noProof/>
      </w:rPr>
      <w:t>8</w:t>
    </w:r>
    <w:r w:rsidR="00C50D7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F6" w:rsidRDefault="00E168F6">
      <w:r>
        <w:separator/>
      </w:r>
    </w:p>
  </w:footnote>
  <w:footnote w:type="continuationSeparator" w:id="0">
    <w:p w:rsidR="00E168F6" w:rsidRDefault="00E1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0" w:rsidRDefault="002A1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0" w:rsidRDefault="002A1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7B" w:rsidRDefault="002A1940" w:rsidP="00B86EDF">
    <w:pPr>
      <w:pStyle w:val="Header"/>
      <w:ind w:hanging="851"/>
      <w:jc w:val="left"/>
    </w:pPr>
    <w:r>
      <w:rPr>
        <w:noProof/>
        <w:lang w:eastAsia="en-AU"/>
      </w:rPr>
      <w:drawing>
        <wp:inline distT="0" distB="0" distL="0" distR="0" wp14:anchorId="2C84A98D" wp14:editId="78695E1C">
          <wp:extent cx="5400675" cy="10363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2.jpg"/>
                  <pic:cNvPicPr/>
                </pic:nvPicPr>
                <pic:blipFill>
                  <a:blip r:embed="rId1">
                    <a:extLst>
                      <a:ext uri="{28A0092B-C50C-407E-A947-70E740481C1C}">
                        <a14:useLocalDpi xmlns:a14="http://schemas.microsoft.com/office/drawing/2010/main" val="0"/>
                      </a:ext>
                    </a:extLst>
                  </a:blip>
                  <a:stretch>
                    <a:fillRect/>
                  </a:stretch>
                </pic:blipFill>
                <pic:spPr>
                  <a:xfrm>
                    <a:off x="0" y="0"/>
                    <a:ext cx="5400675" cy="1036320"/>
                  </a:xfrm>
                  <a:prstGeom prst="rect">
                    <a:avLst/>
                  </a:prstGeom>
                </pic:spPr>
              </pic:pic>
            </a:graphicData>
          </a:graphic>
        </wp:inline>
      </w:drawing>
    </w:r>
  </w:p>
  <w:p w:rsidR="00506DC1" w:rsidRPr="004B66E5" w:rsidRDefault="00506DC1" w:rsidP="00506DC1">
    <w:pPr>
      <w:pStyle w:val="HeaderDocTitle"/>
    </w:pPr>
    <w:r>
      <w:t>Memo</w:t>
    </w:r>
  </w:p>
  <w:p w:rsidR="00506DC1" w:rsidRDefault="00506DC1" w:rsidP="00506DC1">
    <w:pPr>
      <w:pStyle w:val="BodyText"/>
    </w:pPr>
    <w:bookmarkStart w:id="3" w:name="Department"/>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1AB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B4D0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E81E6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85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E21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0B3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D5F84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1B6305"/>
    <w:multiLevelType w:val="multilevel"/>
    <w:tmpl w:val="EC1E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DA162A"/>
    <w:multiLevelType w:val="multilevel"/>
    <w:tmpl w:val="D060850A"/>
    <w:lvl w:ilvl="0">
      <w:start w:val="1"/>
      <w:numFmt w:val="decimal"/>
      <w:lvlText w:val="%1"/>
      <w:lvlJc w:val="left"/>
      <w:pPr>
        <w:tabs>
          <w:tab w:val="num" w:pos="539"/>
        </w:tabs>
        <w:ind w:left="539" w:hanging="539"/>
      </w:pPr>
      <w:rPr>
        <w:rFonts w:cs="Arial" w:hint="default"/>
      </w:rPr>
    </w:lvl>
    <w:lvl w:ilvl="1">
      <w:start w:val="1"/>
      <w:numFmt w:val="decimal"/>
      <w:lvlText w:val="%1.%2"/>
      <w:lvlJc w:val="left"/>
      <w:pPr>
        <w:tabs>
          <w:tab w:val="num" w:pos="539"/>
        </w:tabs>
        <w:ind w:left="539" w:hanging="539"/>
      </w:pPr>
      <w:rPr>
        <w:rFonts w:cs="Arial" w:hint="default"/>
      </w:rPr>
    </w:lvl>
    <w:lvl w:ilvl="2">
      <w:start w:val="1"/>
      <w:numFmt w:val="lowerLetter"/>
      <w:lvlText w:val="%3)"/>
      <w:lvlJc w:val="left"/>
      <w:pPr>
        <w:tabs>
          <w:tab w:val="num" w:pos="862"/>
        </w:tabs>
        <w:ind w:left="862" w:hanging="323"/>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4" w15:restartNumberingAfterBreak="0">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B1320B4"/>
    <w:multiLevelType w:val="hybridMultilevel"/>
    <w:tmpl w:val="C728E83C"/>
    <w:lvl w:ilvl="0" w:tplc="E8F22DBE">
      <w:start w:val="1"/>
      <w:numFmt w:val="upperLetter"/>
      <w:pStyle w:val="Recommendations"/>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F6F6DE5"/>
    <w:multiLevelType w:val="multilevel"/>
    <w:tmpl w:val="E654B336"/>
    <w:lvl w:ilvl="0">
      <w:start w:val="1"/>
      <w:numFmt w:val="none"/>
      <w:lvlText w:val=""/>
      <w:lvlJc w:val="left"/>
      <w:pPr>
        <w:tabs>
          <w:tab w:val="num" w:pos="539"/>
        </w:tabs>
        <w:ind w:left="539" w:hanging="539"/>
      </w:pPr>
      <w:rPr>
        <w:rFonts w:cs="Arial" w:hint="default"/>
      </w:rPr>
    </w:lvl>
    <w:lvl w:ilvl="1">
      <w:start w:val="1"/>
      <w:numFmt w:val="decimal"/>
      <w:lvlText w:val="%1%2"/>
      <w:lvlJc w:val="left"/>
      <w:pPr>
        <w:tabs>
          <w:tab w:val="num" w:pos="567"/>
        </w:tabs>
        <w:ind w:left="567" w:hanging="567"/>
      </w:pPr>
      <w:rPr>
        <w:rFonts w:cs="Arial" w:hint="default"/>
      </w:rPr>
    </w:lvl>
    <w:lvl w:ilvl="2">
      <w:start w:val="1"/>
      <w:numFmt w:val="lowerLetter"/>
      <w:lvlText w:val="%3)"/>
      <w:lvlJc w:val="left"/>
      <w:pPr>
        <w:tabs>
          <w:tab w:val="num" w:pos="862"/>
        </w:tabs>
        <w:ind w:left="862" w:hanging="323"/>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7" w15:restartNumberingAfterBreak="0">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8" w15:restartNumberingAfterBreak="0">
    <w:nsid w:val="41534FA0"/>
    <w:multiLevelType w:val="multilevel"/>
    <w:tmpl w:val="FA3A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82CD0"/>
    <w:multiLevelType w:val="multilevel"/>
    <w:tmpl w:val="D2686E6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E0DA9"/>
    <w:multiLevelType w:val="hybridMultilevel"/>
    <w:tmpl w:val="7EF28184"/>
    <w:lvl w:ilvl="0" w:tplc="6CF20FBE">
      <w:start w:val="1"/>
      <w:numFmt w:val="bullet"/>
      <w:pStyle w:val="Bullet2"/>
      <w:lvlText w:val=""/>
      <w:lvlJc w:val="left"/>
      <w:pPr>
        <w:tabs>
          <w:tab w:val="num" w:pos="1701"/>
        </w:tabs>
        <w:ind w:left="1701" w:hanging="567"/>
      </w:pPr>
      <w:rPr>
        <w:rFonts w:ascii="Symbol" w:hAnsi="Symbol" w:hint="default"/>
      </w:rPr>
    </w:lvl>
    <w:lvl w:ilvl="1" w:tplc="58FAC744" w:tentative="1">
      <w:start w:val="1"/>
      <w:numFmt w:val="bullet"/>
      <w:lvlText w:val="o"/>
      <w:lvlJc w:val="left"/>
      <w:pPr>
        <w:tabs>
          <w:tab w:val="num" w:pos="1440"/>
        </w:tabs>
        <w:ind w:left="1440" w:hanging="360"/>
      </w:pPr>
      <w:rPr>
        <w:rFonts w:ascii="Courier New" w:hAnsi="Courier New" w:cs="Courier New" w:hint="default"/>
      </w:rPr>
    </w:lvl>
    <w:lvl w:ilvl="2" w:tplc="F516F612" w:tentative="1">
      <w:start w:val="1"/>
      <w:numFmt w:val="bullet"/>
      <w:lvlText w:val=""/>
      <w:lvlJc w:val="left"/>
      <w:pPr>
        <w:tabs>
          <w:tab w:val="num" w:pos="2160"/>
        </w:tabs>
        <w:ind w:left="2160" w:hanging="360"/>
      </w:pPr>
      <w:rPr>
        <w:rFonts w:ascii="Wingdings" w:hAnsi="Wingdings" w:hint="default"/>
      </w:rPr>
    </w:lvl>
    <w:lvl w:ilvl="3" w:tplc="CD3E7EDC" w:tentative="1">
      <w:start w:val="1"/>
      <w:numFmt w:val="bullet"/>
      <w:lvlText w:val=""/>
      <w:lvlJc w:val="left"/>
      <w:pPr>
        <w:tabs>
          <w:tab w:val="num" w:pos="2880"/>
        </w:tabs>
        <w:ind w:left="2880" w:hanging="360"/>
      </w:pPr>
      <w:rPr>
        <w:rFonts w:ascii="Symbol" w:hAnsi="Symbol" w:hint="default"/>
      </w:rPr>
    </w:lvl>
    <w:lvl w:ilvl="4" w:tplc="4F84E542" w:tentative="1">
      <w:start w:val="1"/>
      <w:numFmt w:val="bullet"/>
      <w:lvlText w:val="o"/>
      <w:lvlJc w:val="left"/>
      <w:pPr>
        <w:tabs>
          <w:tab w:val="num" w:pos="3600"/>
        </w:tabs>
        <w:ind w:left="3600" w:hanging="360"/>
      </w:pPr>
      <w:rPr>
        <w:rFonts w:ascii="Courier New" w:hAnsi="Courier New" w:cs="Courier New" w:hint="default"/>
      </w:rPr>
    </w:lvl>
    <w:lvl w:ilvl="5" w:tplc="A5C643F2" w:tentative="1">
      <w:start w:val="1"/>
      <w:numFmt w:val="bullet"/>
      <w:lvlText w:val=""/>
      <w:lvlJc w:val="left"/>
      <w:pPr>
        <w:tabs>
          <w:tab w:val="num" w:pos="4320"/>
        </w:tabs>
        <w:ind w:left="4320" w:hanging="360"/>
      </w:pPr>
      <w:rPr>
        <w:rFonts w:ascii="Wingdings" w:hAnsi="Wingdings" w:hint="default"/>
      </w:rPr>
    </w:lvl>
    <w:lvl w:ilvl="6" w:tplc="0070240E" w:tentative="1">
      <w:start w:val="1"/>
      <w:numFmt w:val="bullet"/>
      <w:lvlText w:val=""/>
      <w:lvlJc w:val="left"/>
      <w:pPr>
        <w:tabs>
          <w:tab w:val="num" w:pos="5040"/>
        </w:tabs>
        <w:ind w:left="5040" w:hanging="360"/>
      </w:pPr>
      <w:rPr>
        <w:rFonts w:ascii="Symbol" w:hAnsi="Symbol" w:hint="default"/>
      </w:rPr>
    </w:lvl>
    <w:lvl w:ilvl="7" w:tplc="7EA60292" w:tentative="1">
      <w:start w:val="1"/>
      <w:numFmt w:val="bullet"/>
      <w:lvlText w:val="o"/>
      <w:lvlJc w:val="left"/>
      <w:pPr>
        <w:tabs>
          <w:tab w:val="num" w:pos="5760"/>
        </w:tabs>
        <w:ind w:left="5760" w:hanging="360"/>
      </w:pPr>
      <w:rPr>
        <w:rFonts w:ascii="Courier New" w:hAnsi="Courier New" w:cs="Courier New" w:hint="default"/>
      </w:rPr>
    </w:lvl>
    <w:lvl w:ilvl="8" w:tplc="D5E2EC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89058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3"/>
  </w:num>
  <w:num w:numId="3">
    <w:abstractNumId w:val="16"/>
  </w:num>
  <w:num w:numId="4">
    <w:abstractNumId w:val="21"/>
  </w:num>
  <w:num w:numId="5">
    <w:abstractNumId w:val="12"/>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5"/>
  </w:num>
  <w:num w:numId="40">
    <w:abstractNumId w:val="17"/>
  </w:num>
  <w:num w:numId="41">
    <w:abstractNumId w:val="17"/>
  </w:num>
  <w:num w:numId="42">
    <w:abstractNumId w:val="17"/>
  </w:num>
  <w:num w:numId="43">
    <w:abstractNumId w:val="17"/>
  </w:num>
  <w:num w:numId="44">
    <w:abstractNumId w:val="17"/>
  </w:num>
  <w:num w:numId="45">
    <w:abstractNumId w:val="15"/>
  </w:num>
  <w:num w:numId="46">
    <w:abstractNumId w:val="19"/>
  </w:num>
  <w:num w:numId="47">
    <w:abstractNumId w:val="1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9B"/>
    <w:rsid w:val="000010CF"/>
    <w:rsid w:val="00003498"/>
    <w:rsid w:val="00007A68"/>
    <w:rsid w:val="0001339A"/>
    <w:rsid w:val="00013868"/>
    <w:rsid w:val="0003649B"/>
    <w:rsid w:val="0004456D"/>
    <w:rsid w:val="00055374"/>
    <w:rsid w:val="00057603"/>
    <w:rsid w:val="00062418"/>
    <w:rsid w:val="00066490"/>
    <w:rsid w:val="00072B75"/>
    <w:rsid w:val="00082BB6"/>
    <w:rsid w:val="00092791"/>
    <w:rsid w:val="000C4203"/>
    <w:rsid w:val="000F1EDF"/>
    <w:rsid w:val="00120926"/>
    <w:rsid w:val="00124CBE"/>
    <w:rsid w:val="001269BA"/>
    <w:rsid w:val="0013436B"/>
    <w:rsid w:val="001363E0"/>
    <w:rsid w:val="0013675F"/>
    <w:rsid w:val="00142712"/>
    <w:rsid w:val="00142B74"/>
    <w:rsid w:val="00146538"/>
    <w:rsid w:val="00156179"/>
    <w:rsid w:val="00162CB4"/>
    <w:rsid w:val="001C418B"/>
    <w:rsid w:val="001D2AAE"/>
    <w:rsid w:val="001D67D1"/>
    <w:rsid w:val="001E63B0"/>
    <w:rsid w:val="001E7A22"/>
    <w:rsid w:val="001F264D"/>
    <w:rsid w:val="00201AE0"/>
    <w:rsid w:val="00217CDF"/>
    <w:rsid w:val="002252EC"/>
    <w:rsid w:val="00225DB5"/>
    <w:rsid w:val="00231319"/>
    <w:rsid w:val="0024634B"/>
    <w:rsid w:val="00252FAD"/>
    <w:rsid w:val="0025692A"/>
    <w:rsid w:val="00261439"/>
    <w:rsid w:val="00262101"/>
    <w:rsid w:val="002625E9"/>
    <w:rsid w:val="002645E9"/>
    <w:rsid w:val="00285A3E"/>
    <w:rsid w:val="00286833"/>
    <w:rsid w:val="00290C4E"/>
    <w:rsid w:val="00296B7C"/>
    <w:rsid w:val="002A1940"/>
    <w:rsid w:val="002B0EC0"/>
    <w:rsid w:val="002B7EC8"/>
    <w:rsid w:val="002C5D04"/>
    <w:rsid w:val="002E534F"/>
    <w:rsid w:val="002F4CC6"/>
    <w:rsid w:val="0030441B"/>
    <w:rsid w:val="0032268E"/>
    <w:rsid w:val="003259B5"/>
    <w:rsid w:val="00333870"/>
    <w:rsid w:val="003339CD"/>
    <w:rsid w:val="00337771"/>
    <w:rsid w:val="00351CA6"/>
    <w:rsid w:val="00386A4F"/>
    <w:rsid w:val="003A5A7B"/>
    <w:rsid w:val="003A67AE"/>
    <w:rsid w:val="003B0BBD"/>
    <w:rsid w:val="003B5043"/>
    <w:rsid w:val="003D69D8"/>
    <w:rsid w:val="003F18B5"/>
    <w:rsid w:val="003F1A88"/>
    <w:rsid w:val="003F6862"/>
    <w:rsid w:val="00400249"/>
    <w:rsid w:val="00401593"/>
    <w:rsid w:val="00413475"/>
    <w:rsid w:val="0041363B"/>
    <w:rsid w:val="00426A11"/>
    <w:rsid w:val="00434509"/>
    <w:rsid w:val="004435D5"/>
    <w:rsid w:val="00443A83"/>
    <w:rsid w:val="00445BB2"/>
    <w:rsid w:val="00452421"/>
    <w:rsid w:val="00455F66"/>
    <w:rsid w:val="00463094"/>
    <w:rsid w:val="00465E0D"/>
    <w:rsid w:val="00474736"/>
    <w:rsid w:val="00483BAE"/>
    <w:rsid w:val="004847B8"/>
    <w:rsid w:val="0049474F"/>
    <w:rsid w:val="004B66E5"/>
    <w:rsid w:val="004D1228"/>
    <w:rsid w:val="004D1A1A"/>
    <w:rsid w:val="004E10C1"/>
    <w:rsid w:val="004E1431"/>
    <w:rsid w:val="004F4470"/>
    <w:rsid w:val="00506DC1"/>
    <w:rsid w:val="00511F8F"/>
    <w:rsid w:val="00512827"/>
    <w:rsid w:val="00521680"/>
    <w:rsid w:val="00553640"/>
    <w:rsid w:val="00556982"/>
    <w:rsid w:val="00560E50"/>
    <w:rsid w:val="005641C2"/>
    <w:rsid w:val="0056735E"/>
    <w:rsid w:val="005746CF"/>
    <w:rsid w:val="00595798"/>
    <w:rsid w:val="00595FB0"/>
    <w:rsid w:val="005A3027"/>
    <w:rsid w:val="005A515B"/>
    <w:rsid w:val="005A6F2D"/>
    <w:rsid w:val="005D7DAC"/>
    <w:rsid w:val="005E129B"/>
    <w:rsid w:val="005E3300"/>
    <w:rsid w:val="005F299A"/>
    <w:rsid w:val="00633603"/>
    <w:rsid w:val="006359E5"/>
    <w:rsid w:val="006475A3"/>
    <w:rsid w:val="006709BF"/>
    <w:rsid w:val="00671AAC"/>
    <w:rsid w:val="00683884"/>
    <w:rsid w:val="006923AE"/>
    <w:rsid w:val="006A3D64"/>
    <w:rsid w:val="006C3641"/>
    <w:rsid w:val="006C6EED"/>
    <w:rsid w:val="006C6F52"/>
    <w:rsid w:val="006D12BD"/>
    <w:rsid w:val="006D3B57"/>
    <w:rsid w:val="006D3D3B"/>
    <w:rsid w:val="006D4AC7"/>
    <w:rsid w:val="006D6D36"/>
    <w:rsid w:val="007007B1"/>
    <w:rsid w:val="007044FD"/>
    <w:rsid w:val="00712BD2"/>
    <w:rsid w:val="00730A78"/>
    <w:rsid w:val="00752098"/>
    <w:rsid w:val="00760AF8"/>
    <w:rsid w:val="00761E3E"/>
    <w:rsid w:val="00765DCB"/>
    <w:rsid w:val="0076677A"/>
    <w:rsid w:val="00767368"/>
    <w:rsid w:val="007700EA"/>
    <w:rsid w:val="0078340B"/>
    <w:rsid w:val="00786166"/>
    <w:rsid w:val="00787752"/>
    <w:rsid w:val="0079542F"/>
    <w:rsid w:val="007A773D"/>
    <w:rsid w:val="007B6477"/>
    <w:rsid w:val="007C16BB"/>
    <w:rsid w:val="007E0297"/>
    <w:rsid w:val="007E12B7"/>
    <w:rsid w:val="007E634F"/>
    <w:rsid w:val="007F2243"/>
    <w:rsid w:val="008016FA"/>
    <w:rsid w:val="0081522F"/>
    <w:rsid w:val="008157AB"/>
    <w:rsid w:val="00854E57"/>
    <w:rsid w:val="00856CEF"/>
    <w:rsid w:val="008616ED"/>
    <w:rsid w:val="008A0A63"/>
    <w:rsid w:val="008A5C6B"/>
    <w:rsid w:val="008B3A44"/>
    <w:rsid w:val="008B7295"/>
    <w:rsid w:val="008D5740"/>
    <w:rsid w:val="008D6D95"/>
    <w:rsid w:val="008E14A6"/>
    <w:rsid w:val="008F53F9"/>
    <w:rsid w:val="0090291C"/>
    <w:rsid w:val="00907AC4"/>
    <w:rsid w:val="0091204A"/>
    <w:rsid w:val="00913B3F"/>
    <w:rsid w:val="00922CC8"/>
    <w:rsid w:val="009468BE"/>
    <w:rsid w:val="00956F3B"/>
    <w:rsid w:val="00960DC6"/>
    <w:rsid w:val="0096497B"/>
    <w:rsid w:val="00967405"/>
    <w:rsid w:val="0097273C"/>
    <w:rsid w:val="00986184"/>
    <w:rsid w:val="009939EE"/>
    <w:rsid w:val="009945F5"/>
    <w:rsid w:val="0099467C"/>
    <w:rsid w:val="009A4D00"/>
    <w:rsid w:val="009B0EE3"/>
    <w:rsid w:val="009D2F2E"/>
    <w:rsid w:val="009D3349"/>
    <w:rsid w:val="009D535E"/>
    <w:rsid w:val="009D7114"/>
    <w:rsid w:val="009F6284"/>
    <w:rsid w:val="00A00127"/>
    <w:rsid w:val="00A07A42"/>
    <w:rsid w:val="00A108DF"/>
    <w:rsid w:val="00A13A2E"/>
    <w:rsid w:val="00A22A22"/>
    <w:rsid w:val="00A23E64"/>
    <w:rsid w:val="00A33487"/>
    <w:rsid w:val="00A348DD"/>
    <w:rsid w:val="00A44074"/>
    <w:rsid w:val="00A563ED"/>
    <w:rsid w:val="00A65755"/>
    <w:rsid w:val="00A662EE"/>
    <w:rsid w:val="00A70850"/>
    <w:rsid w:val="00A70A0A"/>
    <w:rsid w:val="00A83B18"/>
    <w:rsid w:val="00A83B56"/>
    <w:rsid w:val="00AA2778"/>
    <w:rsid w:val="00AC7059"/>
    <w:rsid w:val="00AD063E"/>
    <w:rsid w:val="00AE3BA3"/>
    <w:rsid w:val="00B00F88"/>
    <w:rsid w:val="00B03FFC"/>
    <w:rsid w:val="00B0672C"/>
    <w:rsid w:val="00B12A92"/>
    <w:rsid w:val="00B42CE9"/>
    <w:rsid w:val="00B52C84"/>
    <w:rsid w:val="00B71347"/>
    <w:rsid w:val="00B73C97"/>
    <w:rsid w:val="00B763AC"/>
    <w:rsid w:val="00B838DB"/>
    <w:rsid w:val="00B86EDF"/>
    <w:rsid w:val="00BA30F2"/>
    <w:rsid w:val="00BC0A6A"/>
    <w:rsid w:val="00BD1952"/>
    <w:rsid w:val="00BD1ACF"/>
    <w:rsid w:val="00BD2BBE"/>
    <w:rsid w:val="00BF1F41"/>
    <w:rsid w:val="00BF7A4E"/>
    <w:rsid w:val="00C0331F"/>
    <w:rsid w:val="00C0760F"/>
    <w:rsid w:val="00C106E3"/>
    <w:rsid w:val="00C1116C"/>
    <w:rsid w:val="00C16DF0"/>
    <w:rsid w:val="00C24FA5"/>
    <w:rsid w:val="00C25D14"/>
    <w:rsid w:val="00C37778"/>
    <w:rsid w:val="00C50D7B"/>
    <w:rsid w:val="00C51F84"/>
    <w:rsid w:val="00C56357"/>
    <w:rsid w:val="00C709EC"/>
    <w:rsid w:val="00C73BA2"/>
    <w:rsid w:val="00C77114"/>
    <w:rsid w:val="00C93384"/>
    <w:rsid w:val="00C96D3A"/>
    <w:rsid w:val="00CA50CF"/>
    <w:rsid w:val="00CB256C"/>
    <w:rsid w:val="00CB341C"/>
    <w:rsid w:val="00CB694A"/>
    <w:rsid w:val="00CC17FB"/>
    <w:rsid w:val="00CD6380"/>
    <w:rsid w:val="00CF12BE"/>
    <w:rsid w:val="00CF5243"/>
    <w:rsid w:val="00D0780E"/>
    <w:rsid w:val="00D12D1C"/>
    <w:rsid w:val="00D15347"/>
    <w:rsid w:val="00D225D7"/>
    <w:rsid w:val="00D318BD"/>
    <w:rsid w:val="00D3304D"/>
    <w:rsid w:val="00D36429"/>
    <w:rsid w:val="00D4634D"/>
    <w:rsid w:val="00D5058B"/>
    <w:rsid w:val="00D550B7"/>
    <w:rsid w:val="00D857A0"/>
    <w:rsid w:val="00D9381B"/>
    <w:rsid w:val="00DA752C"/>
    <w:rsid w:val="00DB2491"/>
    <w:rsid w:val="00DC0C37"/>
    <w:rsid w:val="00DE1BC2"/>
    <w:rsid w:val="00DE20E7"/>
    <w:rsid w:val="00DF20D7"/>
    <w:rsid w:val="00DF3FDD"/>
    <w:rsid w:val="00E020B3"/>
    <w:rsid w:val="00E04785"/>
    <w:rsid w:val="00E11864"/>
    <w:rsid w:val="00E168F6"/>
    <w:rsid w:val="00E27D0E"/>
    <w:rsid w:val="00E32CC2"/>
    <w:rsid w:val="00E3700D"/>
    <w:rsid w:val="00E56DA6"/>
    <w:rsid w:val="00E75E9D"/>
    <w:rsid w:val="00E844C4"/>
    <w:rsid w:val="00E95C5C"/>
    <w:rsid w:val="00EA5AA0"/>
    <w:rsid w:val="00EB6985"/>
    <w:rsid w:val="00EC08F1"/>
    <w:rsid w:val="00EC3759"/>
    <w:rsid w:val="00EC522C"/>
    <w:rsid w:val="00EC57F7"/>
    <w:rsid w:val="00ED470D"/>
    <w:rsid w:val="00ED66DD"/>
    <w:rsid w:val="00EE1032"/>
    <w:rsid w:val="00F06AEC"/>
    <w:rsid w:val="00F07F63"/>
    <w:rsid w:val="00F11B93"/>
    <w:rsid w:val="00F300E8"/>
    <w:rsid w:val="00F30BD7"/>
    <w:rsid w:val="00F4561E"/>
    <w:rsid w:val="00F52CE8"/>
    <w:rsid w:val="00F545B4"/>
    <w:rsid w:val="00F663F7"/>
    <w:rsid w:val="00F834DF"/>
    <w:rsid w:val="00F8639D"/>
    <w:rsid w:val="00F94DC7"/>
    <w:rsid w:val="00F95048"/>
    <w:rsid w:val="00FB2FC4"/>
    <w:rsid w:val="00FC153D"/>
    <w:rsid w:val="00FC2EA6"/>
    <w:rsid w:val="00FC401A"/>
    <w:rsid w:val="00FD12A1"/>
    <w:rsid w:val="00FE20BB"/>
    <w:rsid w:val="00FE5FDC"/>
    <w:rsid w:val="00FF234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E2B60"/>
  <w15:docId w15:val="{4750F1B0-6DBE-4B72-9C65-B2DDD8B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4E57"/>
    <w:rPr>
      <w:rFonts w:ascii="Arial" w:hAnsi="Arial"/>
      <w:sz w:val="22"/>
      <w:szCs w:val="24"/>
    </w:rPr>
  </w:style>
  <w:style w:type="paragraph" w:styleId="Heading1">
    <w:name w:val="heading 1"/>
    <w:basedOn w:val="Normal"/>
    <w:next w:val="BodyText"/>
    <w:qFormat/>
    <w:rsid w:val="00854E57"/>
    <w:pPr>
      <w:keepNext/>
      <w:numPr>
        <w:numId w:val="44"/>
      </w:numPr>
      <w:spacing w:after="100"/>
      <w:outlineLvl w:val="0"/>
    </w:pPr>
    <w:rPr>
      <w:b/>
      <w:sz w:val="30"/>
      <w:szCs w:val="20"/>
      <w:lang w:eastAsia="en-US"/>
    </w:rPr>
  </w:style>
  <w:style w:type="paragraph" w:styleId="Heading2">
    <w:name w:val="heading 2"/>
    <w:basedOn w:val="Normal"/>
    <w:next w:val="BodyText"/>
    <w:qFormat/>
    <w:rsid w:val="00854E57"/>
    <w:pPr>
      <w:spacing w:after="100"/>
      <w:outlineLvl w:val="1"/>
    </w:pPr>
    <w:rPr>
      <w:rFonts w:cs="Arial"/>
      <w:b/>
      <w:bCs/>
      <w:iCs/>
      <w:sz w:val="26"/>
      <w:szCs w:val="28"/>
    </w:rPr>
  </w:style>
  <w:style w:type="paragraph" w:styleId="Heading3">
    <w:name w:val="heading 3"/>
    <w:basedOn w:val="Normal"/>
    <w:next w:val="BodyText"/>
    <w:qFormat/>
    <w:rsid w:val="00854E57"/>
    <w:pPr>
      <w:spacing w:after="100"/>
      <w:outlineLvl w:val="2"/>
    </w:pPr>
    <w:rPr>
      <w:rFonts w:cs="Arial"/>
      <w:b/>
      <w:bCs/>
      <w:sz w:val="24"/>
      <w:szCs w:val="26"/>
    </w:rPr>
  </w:style>
  <w:style w:type="paragraph" w:styleId="Heading4">
    <w:name w:val="heading 4"/>
    <w:basedOn w:val="Normal"/>
    <w:next w:val="BodyText"/>
    <w:qFormat/>
    <w:rsid w:val="00506DC1"/>
    <w:pPr>
      <w:numPr>
        <w:ilvl w:val="1"/>
        <w:numId w:val="44"/>
      </w:numPr>
      <w:spacing w:after="100"/>
      <w:outlineLvl w:val="3"/>
    </w:pPr>
    <w:rPr>
      <w:b/>
      <w:bCs/>
      <w:szCs w:val="28"/>
    </w:rPr>
  </w:style>
  <w:style w:type="paragraph" w:styleId="Heading5">
    <w:name w:val="heading 5"/>
    <w:basedOn w:val="Normal"/>
    <w:next w:val="BodyText"/>
    <w:qFormat/>
    <w:rsid w:val="00506DC1"/>
    <w:pPr>
      <w:numPr>
        <w:ilvl w:val="2"/>
        <w:numId w:val="44"/>
      </w:numPr>
      <w:spacing w:after="100"/>
      <w:outlineLvl w:val="4"/>
    </w:pPr>
    <w:rPr>
      <w:bCs/>
      <w:iCs/>
      <w:szCs w:val="26"/>
    </w:rPr>
  </w:style>
  <w:style w:type="paragraph" w:styleId="Heading6">
    <w:name w:val="heading 6"/>
    <w:basedOn w:val="Normal"/>
    <w:next w:val="BodyText"/>
    <w:qFormat/>
    <w:rsid w:val="00506DC1"/>
    <w:pPr>
      <w:numPr>
        <w:ilvl w:val="3"/>
        <w:numId w:val="44"/>
      </w:numPr>
      <w:spacing w:after="100"/>
      <w:outlineLvl w:val="5"/>
    </w:pPr>
    <w:rPr>
      <w:bCs/>
      <w:szCs w:val="22"/>
    </w:rPr>
  </w:style>
  <w:style w:type="paragraph" w:styleId="Heading7">
    <w:name w:val="heading 7"/>
    <w:basedOn w:val="Normal"/>
    <w:next w:val="BodyText"/>
    <w:qFormat/>
    <w:rsid w:val="00506DC1"/>
    <w:pPr>
      <w:numPr>
        <w:ilvl w:val="4"/>
        <w:numId w:val="44"/>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DC1"/>
    <w:pPr>
      <w:jc w:val="center"/>
    </w:pPr>
    <w:rPr>
      <w:rFonts w:cs="Arial"/>
      <w:szCs w:val="22"/>
      <w:lang w:eastAsia="en-US"/>
    </w:rPr>
  </w:style>
  <w:style w:type="paragraph" w:styleId="Footer">
    <w:name w:val="footer"/>
    <w:basedOn w:val="Normal"/>
    <w:rsid w:val="00FB2FC4"/>
    <w:pPr>
      <w:tabs>
        <w:tab w:val="right" w:pos="8505"/>
        <w:tab w:val="right" w:pos="13438"/>
      </w:tabs>
    </w:pPr>
    <w:rPr>
      <w:color w:val="333333"/>
      <w:sz w:val="16"/>
    </w:rPr>
  </w:style>
  <w:style w:type="paragraph" w:customStyle="1" w:styleId="Subject">
    <w:name w:val="Subject"/>
    <w:basedOn w:val="Normal"/>
    <w:rsid w:val="00506DC1"/>
    <w:rPr>
      <w:b/>
    </w:rPr>
  </w:style>
  <w:style w:type="paragraph" w:styleId="BodyText">
    <w:name w:val="Body Text"/>
    <w:basedOn w:val="Normal"/>
    <w:qFormat/>
    <w:rsid w:val="00506DC1"/>
    <w:pPr>
      <w:spacing w:after="180"/>
    </w:pPr>
  </w:style>
  <w:style w:type="paragraph" w:customStyle="1" w:styleId="Signoff">
    <w:name w:val="Signoff"/>
    <w:basedOn w:val="Normal"/>
    <w:rsid w:val="00506DC1"/>
    <w:pPr>
      <w:spacing w:before="240" w:after="600"/>
    </w:pPr>
  </w:style>
  <w:style w:type="paragraph" w:customStyle="1" w:styleId="Recommendations">
    <w:name w:val="Recommendations"/>
    <w:basedOn w:val="Normal"/>
    <w:next w:val="BodyText"/>
    <w:rsid w:val="00506DC1"/>
    <w:pPr>
      <w:numPr>
        <w:numId w:val="45"/>
      </w:numPr>
      <w:spacing w:after="180"/>
    </w:pPr>
  </w:style>
  <w:style w:type="paragraph" w:customStyle="1" w:styleId="Bullet1">
    <w:name w:val="Bullet 1"/>
    <w:basedOn w:val="Normal"/>
    <w:qFormat/>
    <w:rsid w:val="007E634F"/>
    <w:pPr>
      <w:numPr>
        <w:numId w:val="5"/>
      </w:numPr>
      <w:spacing w:after="180"/>
    </w:pPr>
  </w:style>
  <w:style w:type="paragraph" w:customStyle="1" w:styleId="Bullet2">
    <w:name w:val="Bullet 2"/>
    <w:basedOn w:val="Normal"/>
    <w:qFormat/>
    <w:rsid w:val="007E634F"/>
    <w:pPr>
      <w:numPr>
        <w:numId w:val="6"/>
      </w:numPr>
    </w:pPr>
    <w:rPr>
      <w:lang w:eastAsia="en-US"/>
    </w:rPr>
  </w:style>
  <w:style w:type="paragraph" w:styleId="ListNumber">
    <w:name w:val="List Number"/>
    <w:basedOn w:val="Normal"/>
    <w:qFormat/>
    <w:rsid w:val="0099467C"/>
    <w:pPr>
      <w:numPr>
        <w:numId w:val="12"/>
      </w:numPr>
      <w:spacing w:after="180"/>
    </w:pPr>
  </w:style>
  <w:style w:type="paragraph" w:styleId="ListNumber2">
    <w:name w:val="List Number 2"/>
    <w:basedOn w:val="Normal"/>
    <w:qFormat/>
    <w:rsid w:val="0099467C"/>
    <w:pPr>
      <w:numPr>
        <w:numId w:val="13"/>
      </w:numPr>
      <w:spacing w:after="180"/>
    </w:pPr>
  </w:style>
  <w:style w:type="paragraph" w:styleId="ListNumber3">
    <w:name w:val="List Number 3"/>
    <w:basedOn w:val="Normal"/>
    <w:qFormat/>
    <w:rsid w:val="0099467C"/>
    <w:pPr>
      <w:numPr>
        <w:numId w:val="14"/>
      </w:numPr>
      <w:spacing w:after="180"/>
    </w:pPr>
  </w:style>
  <w:style w:type="paragraph" w:customStyle="1" w:styleId="Prompt">
    <w:name w:val="Prompt"/>
    <w:basedOn w:val="Normal"/>
    <w:rsid w:val="00506DC1"/>
    <w:rPr>
      <w:b/>
      <w:bCs/>
    </w:rPr>
  </w:style>
  <w:style w:type="paragraph" w:customStyle="1" w:styleId="Details">
    <w:name w:val="Details"/>
    <w:basedOn w:val="Normal"/>
    <w:rsid w:val="00506DC1"/>
    <w:pPr>
      <w:spacing w:after="120"/>
    </w:pPr>
  </w:style>
  <w:style w:type="character" w:styleId="PageNumber">
    <w:name w:val="page number"/>
    <w:basedOn w:val="DefaultParagraphFont"/>
    <w:rsid w:val="00506DC1"/>
  </w:style>
  <w:style w:type="paragraph" w:customStyle="1" w:styleId="HeaderDocTitle">
    <w:name w:val="Header Doc Title"/>
    <w:basedOn w:val="Header"/>
    <w:rsid w:val="008A5C6B"/>
    <w:pPr>
      <w:spacing w:before="400" w:after="200"/>
      <w:jc w:val="left"/>
    </w:pPr>
    <w:rPr>
      <w:b/>
      <w:sz w:val="30"/>
    </w:rPr>
  </w:style>
  <w:style w:type="paragraph" w:customStyle="1" w:styleId="Addressee">
    <w:name w:val="Addressee"/>
    <w:basedOn w:val="Details"/>
    <w:rsid w:val="00506DC1"/>
  </w:style>
  <w:style w:type="paragraph" w:customStyle="1" w:styleId="TableBullet1">
    <w:name w:val="Table Bullet 1"/>
    <w:basedOn w:val="Normal"/>
    <w:rsid w:val="00C37778"/>
    <w:pPr>
      <w:numPr>
        <w:numId w:val="17"/>
      </w:numPr>
    </w:pPr>
  </w:style>
  <w:style w:type="paragraph" w:customStyle="1" w:styleId="TableHeading">
    <w:name w:val="Table Heading"/>
    <w:basedOn w:val="Normal"/>
    <w:next w:val="Normal"/>
    <w:rsid w:val="00506DC1"/>
    <w:pPr>
      <w:spacing w:before="60" w:after="60"/>
    </w:pPr>
    <w:rPr>
      <w:rFonts w:ascii="Arial Bold" w:hAnsi="Arial Bold"/>
      <w:b/>
      <w:caps/>
      <w:sz w:val="18"/>
      <w:szCs w:val="18"/>
    </w:rPr>
  </w:style>
  <w:style w:type="paragraph" w:customStyle="1" w:styleId="TableHeadings">
    <w:name w:val="Table Headings"/>
    <w:basedOn w:val="Normal"/>
    <w:rsid w:val="00506DC1"/>
    <w:rPr>
      <w:rFonts w:ascii="Arial Bold" w:hAnsi="Arial Bold"/>
      <w:b/>
      <w:szCs w:val="16"/>
    </w:rPr>
  </w:style>
  <w:style w:type="table" w:customStyle="1" w:styleId="TableHorizontal">
    <w:name w:val="Table Horizontal"/>
    <w:basedOn w:val="TableNormal"/>
    <w:rsid w:val="00506DC1"/>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C37778"/>
    <w:pPr>
      <w:numPr>
        <w:numId w:val="18"/>
      </w:numPr>
    </w:pPr>
  </w:style>
  <w:style w:type="paragraph" w:customStyle="1" w:styleId="TableSource">
    <w:name w:val="Table Source"/>
    <w:basedOn w:val="Normal"/>
    <w:next w:val="BodyText"/>
    <w:rsid w:val="00506DC1"/>
    <w:pPr>
      <w:spacing w:before="60" w:after="180"/>
    </w:pPr>
    <w:rPr>
      <w:rFonts w:ascii="Arial Bold" w:hAnsi="Arial Bold"/>
      <w:b/>
      <w:color w:val="808080"/>
      <w:sz w:val="14"/>
      <w:szCs w:val="14"/>
    </w:rPr>
  </w:style>
  <w:style w:type="paragraph" w:customStyle="1" w:styleId="TableText">
    <w:name w:val="Table Text"/>
    <w:basedOn w:val="Normal"/>
    <w:rsid w:val="00506DC1"/>
    <w:pPr>
      <w:spacing w:line="260" w:lineRule="atLeast"/>
    </w:pPr>
    <w:rPr>
      <w:lang w:eastAsia="en-US"/>
    </w:rPr>
  </w:style>
  <w:style w:type="paragraph" w:styleId="BalloonText">
    <w:name w:val="Balloon Text"/>
    <w:basedOn w:val="Normal"/>
    <w:link w:val="BalloonTextChar"/>
    <w:rsid w:val="00C24FA5"/>
    <w:rPr>
      <w:rFonts w:ascii="Tahoma" w:hAnsi="Tahoma" w:cs="Tahoma"/>
      <w:sz w:val="16"/>
      <w:szCs w:val="16"/>
    </w:rPr>
  </w:style>
  <w:style w:type="character" w:customStyle="1" w:styleId="BalloonTextChar">
    <w:name w:val="Balloon Text Char"/>
    <w:basedOn w:val="DefaultParagraphFont"/>
    <w:link w:val="BalloonText"/>
    <w:rsid w:val="00C24FA5"/>
    <w:rPr>
      <w:rFonts w:ascii="Tahoma" w:hAnsi="Tahoma" w:cs="Tahoma"/>
      <w:sz w:val="16"/>
      <w:szCs w:val="16"/>
    </w:rPr>
  </w:style>
  <w:style w:type="paragraph" w:customStyle="1" w:styleId="AttachmentNumber">
    <w:name w:val="Attachment Number"/>
    <w:basedOn w:val="Header"/>
    <w:rsid w:val="00506DC1"/>
    <w:pPr>
      <w:jc w:val="right"/>
    </w:pPr>
    <w:rPr>
      <w:rFonts w:ascii="Arial Bold" w:hAnsi="Arial Bold"/>
      <w:b/>
      <w:caps/>
      <w:sz w:val="24"/>
    </w:rPr>
  </w:style>
  <w:style w:type="paragraph" w:customStyle="1" w:styleId="AttachmentTitle">
    <w:name w:val="Attachment Title"/>
    <w:basedOn w:val="Header"/>
    <w:rsid w:val="006C6EED"/>
    <w:pPr>
      <w:jc w:val="left"/>
    </w:pPr>
    <w:rPr>
      <w:b/>
      <w:sz w:val="24"/>
    </w:rPr>
  </w:style>
  <w:style w:type="paragraph" w:customStyle="1" w:styleId="RecordNumber">
    <w:name w:val="RecordNumber"/>
    <w:basedOn w:val="Details"/>
    <w:rsid w:val="00E844C4"/>
  </w:style>
  <w:style w:type="character" w:styleId="Hyperlink">
    <w:name w:val="Hyperlink"/>
    <w:basedOn w:val="DefaultParagraphFont"/>
    <w:uiPriority w:val="99"/>
    <w:semiHidden/>
    <w:unhideWhenUsed/>
    <w:rsid w:val="00511F8F"/>
    <w:rPr>
      <w:color w:val="0000FF"/>
      <w:u w:val="single"/>
    </w:rPr>
  </w:style>
  <w:style w:type="character" w:styleId="FollowedHyperlink">
    <w:name w:val="FollowedHyperlink"/>
    <w:basedOn w:val="DefaultParagraphFont"/>
    <w:semiHidden/>
    <w:unhideWhenUsed/>
    <w:rsid w:val="007C16BB"/>
    <w:rPr>
      <w:color w:val="800080" w:themeColor="followedHyperlink"/>
      <w:u w:val="single"/>
    </w:rPr>
  </w:style>
  <w:style w:type="paragraph" w:customStyle="1" w:styleId="Default">
    <w:name w:val="Default"/>
    <w:rsid w:val="006923A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79849">
      <w:bodyDiv w:val="1"/>
      <w:marLeft w:val="0"/>
      <w:marRight w:val="0"/>
      <w:marTop w:val="0"/>
      <w:marBottom w:val="0"/>
      <w:divBdr>
        <w:top w:val="none" w:sz="0" w:space="0" w:color="auto"/>
        <w:left w:val="none" w:sz="0" w:space="0" w:color="auto"/>
        <w:bottom w:val="none" w:sz="0" w:space="0" w:color="auto"/>
        <w:right w:val="none" w:sz="0" w:space="0" w:color="auto"/>
      </w:divBdr>
      <w:divsChild>
        <w:div w:id="17514600">
          <w:marLeft w:val="0"/>
          <w:marRight w:val="0"/>
          <w:marTop w:val="0"/>
          <w:marBottom w:val="0"/>
          <w:divBdr>
            <w:top w:val="none" w:sz="0" w:space="0" w:color="auto"/>
            <w:left w:val="none" w:sz="0" w:space="0" w:color="auto"/>
            <w:bottom w:val="none" w:sz="0" w:space="0" w:color="auto"/>
            <w:right w:val="none" w:sz="0" w:space="0" w:color="auto"/>
          </w:divBdr>
        </w:div>
        <w:div w:id="1635409086">
          <w:blockQuote w:val="1"/>
          <w:marLeft w:val="600"/>
          <w:marRight w:val="0"/>
          <w:marTop w:val="0"/>
          <w:marBottom w:val="0"/>
          <w:divBdr>
            <w:top w:val="none" w:sz="0" w:space="0" w:color="auto"/>
            <w:left w:val="none" w:sz="0" w:space="0" w:color="auto"/>
            <w:bottom w:val="none" w:sz="0" w:space="0" w:color="auto"/>
            <w:right w:val="none" w:sz="0" w:space="0" w:color="auto"/>
          </w:divBdr>
        </w:div>
        <w:div w:id="121951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WordTemplates\Memo.dotm" TargetMode="External"/></Relationships>
</file>

<file path=word/theme/theme1.xml><?xml version="1.0" encoding="utf-8"?>
<a:theme xmlns:a="http://schemas.openxmlformats.org/drawingml/2006/main" name="WarringahCouncilTheme">
  <a:themeElements>
    <a:clrScheme name="Warringah Council">
      <a:dk1>
        <a:sysClr val="windowText" lastClr="000000"/>
      </a:dk1>
      <a:lt1>
        <a:sysClr val="window" lastClr="FFFFFF"/>
      </a:lt1>
      <a:dk2>
        <a:srgbClr val="007AC9"/>
      </a:dk2>
      <a:lt2>
        <a:srgbClr val="58A618"/>
      </a:lt2>
      <a:accent1>
        <a:srgbClr val="F8E42F"/>
      </a:accent1>
      <a:accent2>
        <a:srgbClr val="1E1656"/>
      </a:accent2>
      <a:accent3>
        <a:srgbClr val="FF6319"/>
      </a:accent3>
      <a:accent4>
        <a:srgbClr val="E78F77"/>
      </a:accent4>
      <a:accent5>
        <a:srgbClr val="747678"/>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8</Pages>
  <Words>2883</Words>
  <Characters>15368</Characters>
  <Application>Microsoft Office Word</Application>
  <DocSecurity>0</DocSecurity>
  <Lines>3842</Lines>
  <Paragraphs>2027</Paragraphs>
  <ScaleCrop>false</ScaleCrop>
  <HeadingPairs>
    <vt:vector size="2" baseType="variant">
      <vt:variant>
        <vt:lpstr>Title</vt:lpstr>
      </vt:variant>
      <vt:variant>
        <vt:i4>1</vt:i4>
      </vt:variant>
    </vt:vector>
  </HeadingPairs>
  <TitlesOfParts>
    <vt:vector size="1" baseType="lpstr">
      <vt:lpstr/>
    </vt:vector>
  </TitlesOfParts>
  <Company>Northern Beaches Council</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Keller</dc:creator>
  <cp:lastModifiedBy>Alexander Keller</cp:lastModifiedBy>
  <cp:revision>3</cp:revision>
  <cp:lastPrinted>2007-05-14T21:50:00Z</cp:lastPrinted>
  <dcterms:created xsi:type="dcterms:W3CDTF">2021-05-25T04:27:00Z</dcterms:created>
  <dcterms:modified xsi:type="dcterms:W3CDTF">2021-05-25T04:29:00Z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Description</vt:lpwstr>
  </property>
  <property fmtid="{D5CDD505-2E9C-101B-9397-08002B2CF9AE}" pid="3" name="AttachmentCount">
    <vt:lpwstr>AttachmentCount</vt:lpwstr>
  </property>
  <property fmtid="{D5CDD505-2E9C-101B-9397-08002B2CF9AE}" pid="4" name="TRIM_Link">
    <vt:lpwstr>EDMS Link</vt:lpwstr>
  </property>
</Properties>
</file>